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15"/>
      </w:pPr>
      <w:bookmarkStart w:id="0" w:name="OLE_LINK2"/>
      <w:bookmarkStart w:id="1" w:name="OLE_LINK1"/>
      <w:r>
        <w:rPr>
          <w:rFonts w:hint="eastAsia"/>
        </w:rPr>
        <w:t>医院信息系统项目</w:t>
      </w:r>
      <w:bookmarkEnd w:id="0"/>
      <w:bookmarkEnd w:id="1"/>
      <w:r>
        <w:rPr>
          <w:rFonts w:hint="eastAsia"/>
        </w:rPr>
        <w:t>技术要求</w:t>
      </w:r>
    </w:p>
    <w:p>
      <w:pPr>
        <w:jc w:val="center"/>
        <w:rPr>
          <w:sz w:val="28"/>
          <w:szCs w:val="28"/>
        </w:rPr>
      </w:pPr>
      <w:r>
        <w:rPr>
          <w:rFonts w:hint="eastAsia" w:ascii="宋体" w:hAnsi="宋体" w:cs="宋体"/>
          <w:b/>
          <w:sz w:val="28"/>
          <w:szCs w:val="28"/>
        </w:rPr>
        <w:t>用户需求</w:t>
      </w:r>
    </w:p>
    <w:p>
      <w:pPr>
        <w:jc w:val="left"/>
        <w:rPr>
          <w:sz w:val="28"/>
          <w:szCs w:val="28"/>
        </w:rPr>
      </w:pPr>
      <w:r>
        <w:rPr>
          <w:rFonts w:hint="eastAsia" w:ascii="宋体" w:hAnsi="宋体" w:cs="宋体"/>
          <w:b/>
          <w:szCs w:val="21"/>
        </w:rPr>
        <w:t>一、采购内容</w:t>
      </w:r>
    </w:p>
    <w:p/>
    <w:tbl>
      <w:tblPr>
        <w:tblStyle w:val="16"/>
        <w:tblW w:w="6587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6"/>
        <w:gridCol w:w="3781"/>
        <w:gridCol w:w="174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tblHeader/>
          <w:jc w:val="center"/>
        </w:trPr>
        <w:tc>
          <w:tcPr>
            <w:tcW w:w="10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  <w:b/>
              </w:rPr>
              <w:t>序号</w:t>
            </w:r>
          </w:p>
        </w:tc>
        <w:tc>
          <w:tcPr>
            <w:tcW w:w="3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  <w:b/>
              </w:rPr>
              <w:t>采购项目名称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  <w:b/>
              </w:rPr>
              <w:t>数量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7" w:hRule="atLeast"/>
          <w:jc w:val="center"/>
        </w:trPr>
        <w:tc>
          <w:tcPr>
            <w:tcW w:w="1066" w:type="dxa"/>
            <w:tcBorders>
              <w:left w:val="single" w:color="000000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3781" w:type="dxa"/>
            <w:tcBorders>
              <w:left w:val="single" w:color="000000" w:sz="4" w:space="0"/>
              <w:bottom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宋体" w:hAnsi="宋体" w:cs="宋体"/>
                <w:kern w:val="0"/>
              </w:rPr>
            </w:pPr>
            <w:r>
              <w:rPr>
                <w:rFonts w:hint="eastAsia" w:ascii="宋体" w:hAnsi="宋体" w:cs="宋体"/>
                <w:kern w:val="0"/>
                <w:lang w:eastAsia="zh-CN"/>
              </w:rPr>
              <w:t>体检管理</w:t>
            </w:r>
            <w:r>
              <w:rPr>
                <w:rFonts w:hint="eastAsia" w:ascii="宋体" w:hAnsi="宋体" w:cs="宋体"/>
                <w:kern w:val="0"/>
              </w:rPr>
              <w:t>系统维保项目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color w:val="auto"/>
                <w:lang w:val="en-US" w:eastAsia="zh-CN"/>
              </w:rPr>
              <w:t>3</w:t>
            </w:r>
            <w:r>
              <w:rPr>
                <w:rFonts w:hint="eastAsia"/>
                <w:lang w:eastAsia="zh-CN"/>
              </w:rPr>
              <w:t>年</w:t>
            </w:r>
          </w:p>
        </w:tc>
      </w:tr>
    </w:tbl>
    <w:p>
      <w:pPr>
        <w:widowControl/>
        <w:ind w:left="630" w:hanging="630" w:hangingChars="300"/>
        <w:jc w:val="left"/>
        <w:rPr>
          <w:rFonts w:ascii="宋体" w:hAnsi="宋体" w:cs="宋体"/>
          <w:kern w:val="0"/>
        </w:rPr>
      </w:pPr>
    </w:p>
    <w:p>
      <w:pPr>
        <w:spacing w:line="360" w:lineRule="auto"/>
        <w:rPr>
          <w:rFonts w:ascii="宋体" w:hAnsi="宋体" w:cs="宋体"/>
          <w:b/>
        </w:rPr>
      </w:pPr>
      <w:bookmarkStart w:id="2" w:name="_Toc7515549"/>
      <w:r>
        <w:rPr>
          <w:rFonts w:hint="eastAsia" w:ascii="宋体" w:hAnsi="宋体" w:cs="宋体"/>
          <w:b/>
        </w:rPr>
        <w:t>二、项目描述</w:t>
      </w:r>
    </w:p>
    <w:p>
      <w:pPr>
        <w:spacing w:line="360" w:lineRule="auto"/>
        <w:ind w:left="0" w:leftChars="0" w:firstLine="420" w:firstLineChars="200"/>
        <w:rPr>
          <w:rFonts w:hint="eastAsia" w:asciiTheme="minorEastAsia" w:hAnsiTheme="minorEastAsia"/>
          <w:color w:val="auto"/>
          <w:lang w:eastAsia="zh-CN"/>
        </w:rPr>
      </w:pPr>
      <w:r>
        <w:rPr>
          <w:rFonts w:hint="eastAsia" w:asciiTheme="minorEastAsia" w:hAnsiTheme="minorEastAsia"/>
          <w:color w:val="auto"/>
          <w:lang w:eastAsia="zh-CN"/>
        </w:rPr>
        <w:t>本项目为体检中心所提需求，当前，体检中心所使用体检管理系统维保已于</w:t>
      </w:r>
      <w:r>
        <w:rPr>
          <w:rFonts w:hint="eastAsia" w:asciiTheme="minorEastAsia" w:hAnsiTheme="minorEastAsia"/>
          <w:color w:val="auto"/>
          <w:u w:val="none"/>
          <w:lang w:val="en-US" w:eastAsia="zh-CN"/>
        </w:rPr>
        <w:t>2026年8月到</w:t>
      </w:r>
      <w:r>
        <w:rPr>
          <w:rFonts w:hint="eastAsia" w:asciiTheme="minorEastAsia" w:hAnsiTheme="minorEastAsia"/>
          <w:color w:val="auto"/>
          <w:lang w:eastAsia="zh-CN"/>
        </w:rPr>
        <w:t>期，</w:t>
      </w:r>
      <w:r>
        <w:rPr>
          <w:rFonts w:hint="eastAsia" w:asciiTheme="minorEastAsia" w:hAnsiTheme="minorEastAsia" w:eastAsiaTheme="minorEastAsia" w:cstheme="minorBidi"/>
          <w:color w:val="auto"/>
          <w:sz w:val="21"/>
        </w:rPr>
        <w:t>该系统是支撑全院体检业务运转的核心信息化系统，全面覆盖</w:t>
      </w:r>
      <w:r>
        <w:rPr>
          <w:rFonts w:hint="eastAsia" w:asciiTheme="minorEastAsia" w:hAnsiTheme="minorEastAsia" w:eastAsiaTheme="minorEastAsia" w:cstheme="minorBidi"/>
          <w:b w:val="0"/>
          <w:color w:val="auto"/>
          <w:sz w:val="21"/>
        </w:rPr>
        <w:t>检前预约、检中执行、质控管理、检后报告、智能导检、数据统计、财务结算、阳性随访</w:t>
      </w:r>
      <w:r>
        <w:rPr>
          <w:rFonts w:hint="eastAsia" w:asciiTheme="minorEastAsia" w:hAnsiTheme="minorEastAsia" w:eastAsiaTheme="minorEastAsia" w:cstheme="minorBidi"/>
          <w:color w:val="auto"/>
          <w:sz w:val="21"/>
        </w:rPr>
        <w:t>全业务流程，是保障体检中心常态化运营、提升体检工作效率、优化群众就医体检体验、规范体检数据管理的核心支撑平台。</w:t>
      </w:r>
      <w:r>
        <w:rPr>
          <w:rFonts w:hint="eastAsia" w:asciiTheme="minorEastAsia" w:hAnsiTheme="minorEastAsia"/>
          <w:color w:val="auto"/>
          <w:lang w:eastAsia="zh-CN"/>
        </w:rPr>
        <w:t>为保障体检管理系统稳定运行，医院体检业务的正常开展，现拟开展体检管理系统维保项目维保工作。</w:t>
      </w:r>
    </w:p>
    <w:p>
      <w:pPr>
        <w:spacing w:line="360" w:lineRule="auto"/>
        <w:rPr>
          <w:rFonts w:hint="eastAsia" w:ascii="宋体" w:hAnsi="宋体" w:cs="宋体" w:eastAsiaTheme="minorEastAsia"/>
          <w:b/>
          <w:lang w:eastAsia="zh-CN"/>
        </w:rPr>
      </w:pPr>
      <w:r>
        <w:rPr>
          <w:rFonts w:hint="eastAsia" w:ascii="宋体" w:hAnsi="宋体" w:cs="宋体"/>
          <w:b/>
        </w:rPr>
        <w:t>三、建设</w:t>
      </w:r>
      <w:r>
        <w:rPr>
          <w:rFonts w:hint="eastAsia" w:ascii="宋体" w:hAnsi="宋体" w:cs="宋体"/>
          <w:b/>
          <w:lang w:eastAsia="zh-CN"/>
        </w:rPr>
        <w:t>原则</w:t>
      </w:r>
    </w:p>
    <w:p>
      <w:pPr>
        <w:spacing w:line="360" w:lineRule="auto"/>
        <w:ind w:firstLine="420" w:firstLineChars="200"/>
        <w:rPr>
          <w:rFonts w:hint="eastAsia" w:ascii="宋体" w:hAnsi="宋体" w:cs="宋体"/>
          <w:color w:val="auto"/>
          <w:kern w:val="0"/>
        </w:rPr>
      </w:pPr>
      <w:r>
        <w:rPr>
          <w:rFonts w:hint="eastAsia" w:ascii="宋体" w:hAnsi="宋体" w:cs="宋体"/>
          <w:color w:val="auto"/>
          <w:kern w:val="0"/>
        </w:rPr>
        <w:t>适合医院现状和发展的标准规范体系，创建信息共享、系统集成环境。应的安全保障机制，符合信息系统安全等级保护建设相关要求。</w:t>
      </w:r>
    </w:p>
    <w:p>
      <w:pPr>
        <w:spacing w:line="360" w:lineRule="auto"/>
        <w:rPr>
          <w:rFonts w:hint="eastAsia" w:ascii="宋体" w:hAnsi="宋体" w:cs="宋体"/>
          <w:color w:val="auto"/>
          <w:kern w:val="0"/>
        </w:rPr>
      </w:pPr>
      <w:r>
        <w:rPr>
          <w:rFonts w:hint="eastAsia" w:ascii="宋体" w:hAnsi="宋体" w:cs="宋体"/>
          <w:color w:val="auto"/>
          <w:kern w:val="0"/>
        </w:rPr>
        <w:t>(1)标准化原则:遵循通用标准和行业规范。按照国际、国家、行业、企业相关标准，建设</w:t>
      </w:r>
    </w:p>
    <w:p>
      <w:pPr>
        <w:spacing w:line="360" w:lineRule="auto"/>
        <w:rPr>
          <w:rFonts w:hint="eastAsia" w:ascii="宋体" w:hAnsi="宋体" w:cs="宋体"/>
          <w:color w:val="auto"/>
          <w:kern w:val="0"/>
        </w:rPr>
      </w:pPr>
      <w:r>
        <w:rPr>
          <w:rFonts w:hint="eastAsia" w:ascii="宋体" w:hAnsi="宋体" w:cs="宋体"/>
          <w:color w:val="auto"/>
          <w:kern w:val="0"/>
        </w:rPr>
        <w:t>适合医院现状和发展的标准规范体系，创建信息共享、系统集成环境。</w:t>
      </w:r>
    </w:p>
    <w:p>
      <w:pPr>
        <w:spacing w:line="360" w:lineRule="auto"/>
        <w:rPr>
          <w:rFonts w:hint="eastAsia" w:ascii="宋体" w:hAnsi="宋体" w:cs="宋体"/>
          <w:color w:val="auto"/>
          <w:kern w:val="0"/>
        </w:rPr>
      </w:pPr>
      <w:r>
        <w:rPr>
          <w:rFonts w:hint="eastAsia" w:ascii="宋体" w:hAnsi="宋体" w:cs="宋体"/>
          <w:color w:val="auto"/>
          <w:kern w:val="0"/>
        </w:rPr>
        <w:t>(2)安全性原则:采用的软件开发技术和方法应充分考虑医院所面临的安全性要求，建立适</w:t>
      </w:r>
    </w:p>
    <w:p>
      <w:pPr>
        <w:spacing w:line="360" w:lineRule="auto"/>
        <w:rPr>
          <w:rFonts w:hint="eastAsia" w:ascii="宋体" w:hAnsi="宋体" w:cs="宋体"/>
          <w:color w:val="auto"/>
          <w:kern w:val="0"/>
        </w:rPr>
      </w:pPr>
      <w:r>
        <w:rPr>
          <w:rFonts w:hint="eastAsia" w:ascii="宋体" w:hAnsi="宋体" w:cs="宋体"/>
          <w:color w:val="auto"/>
          <w:kern w:val="0"/>
        </w:rPr>
        <w:t>应的安全保障机制，符合信息系统安全等级保护建设相关要求。</w:t>
      </w:r>
    </w:p>
    <w:p>
      <w:pPr>
        <w:spacing w:line="360" w:lineRule="auto"/>
        <w:rPr>
          <w:rFonts w:hint="eastAsia" w:ascii="宋体" w:hAnsi="宋体" w:cs="宋体"/>
          <w:color w:val="auto"/>
          <w:kern w:val="0"/>
          <w:lang w:val="en-US" w:eastAsia="zh-CN"/>
        </w:rPr>
      </w:pPr>
      <w:r>
        <w:rPr>
          <w:rFonts w:hint="eastAsia" w:ascii="宋体" w:hAnsi="宋体" w:cs="宋体"/>
          <w:color w:val="auto"/>
          <w:kern w:val="0"/>
          <w:lang w:val="en-US" w:eastAsia="zh-CN"/>
        </w:rPr>
        <w:t>(3)先进性与可靠性原则:选择成熟、可靠的主流技术和产品，即保证技术和产品的先进性，</w:t>
      </w:r>
    </w:p>
    <w:p>
      <w:pPr>
        <w:spacing w:line="360" w:lineRule="auto"/>
        <w:rPr>
          <w:rFonts w:hint="eastAsia" w:ascii="宋体" w:hAnsi="宋体" w:cs="宋体"/>
          <w:color w:val="auto"/>
          <w:kern w:val="0"/>
          <w:lang w:val="en-US" w:eastAsia="zh-CN"/>
        </w:rPr>
      </w:pPr>
      <w:r>
        <w:rPr>
          <w:rFonts w:hint="eastAsia" w:ascii="宋体" w:hAnsi="宋体" w:cs="宋体"/>
          <w:color w:val="auto"/>
          <w:kern w:val="0"/>
          <w:lang w:val="en-US" w:eastAsia="zh-CN"/>
        </w:rPr>
        <w:t>又充分考虑实用性和高可靠性，有良好的售后服务和承诺支持。</w:t>
      </w:r>
    </w:p>
    <w:p>
      <w:pPr>
        <w:spacing w:line="360" w:lineRule="auto"/>
        <w:rPr>
          <w:rFonts w:hint="eastAsia" w:ascii="宋体" w:hAnsi="宋体" w:cs="宋体"/>
          <w:color w:val="auto"/>
          <w:kern w:val="0"/>
        </w:rPr>
      </w:pPr>
      <w:r>
        <w:rPr>
          <w:rFonts w:hint="eastAsia" w:ascii="宋体" w:hAnsi="宋体" w:cs="宋体"/>
          <w:color w:val="auto"/>
          <w:kern w:val="0"/>
        </w:rPr>
        <w:t>(4)兼容性与可扩展性原则:从整个医院全局出发，坚持开放性原则，考虑各种软硬系统的</w:t>
      </w:r>
    </w:p>
    <w:p>
      <w:pPr>
        <w:spacing w:line="360" w:lineRule="auto"/>
        <w:rPr>
          <w:rFonts w:hint="eastAsia" w:ascii="宋体" w:hAnsi="宋体" w:cs="宋体"/>
          <w:color w:val="auto"/>
          <w:kern w:val="0"/>
        </w:rPr>
      </w:pPr>
      <w:r>
        <w:rPr>
          <w:rFonts w:hint="eastAsia" w:ascii="宋体" w:hAnsi="宋体" w:cs="宋体"/>
          <w:color w:val="auto"/>
          <w:kern w:val="0"/>
        </w:rPr>
        <w:t>兼容性和可扩展性。</w:t>
      </w:r>
    </w:p>
    <w:p>
      <w:pPr>
        <w:spacing w:line="360" w:lineRule="auto"/>
        <w:rPr>
          <w:rFonts w:ascii="宋体" w:hAnsi="宋体" w:cs="宋体"/>
          <w:color w:val="auto"/>
          <w:kern w:val="0"/>
        </w:rPr>
      </w:pPr>
      <w:r>
        <w:rPr>
          <w:rFonts w:hint="eastAsia" w:ascii="宋体" w:hAnsi="宋体" w:cs="宋体"/>
          <w:color w:val="auto"/>
          <w:kern w:val="0"/>
        </w:rPr>
        <w:t>(5)易使用、易维护与可配置性原则:应用系统开发充分体现结构化、模块化的设计思想，采用先进的设计和开发工具，同时按照便于管理和易维护原则，对于管理和维护有专门的考虑。</w:t>
      </w:r>
    </w:p>
    <w:p>
      <w:pPr>
        <w:pStyle w:val="28"/>
        <w:keepNext w:val="0"/>
        <w:keepLines w:val="0"/>
        <w:pageBreakBefore w:val="0"/>
        <w:widowControl w:val="0"/>
        <w:numPr>
          <w:ilvl w:val="0"/>
          <w:numId w:val="5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firstLineChars="0"/>
        <w:textAlignment w:val="auto"/>
        <w:rPr>
          <w:rFonts w:hint="eastAsia" w:ascii="宋体" w:hAnsi="宋体" w:cs="宋体"/>
          <w:b/>
          <w:bCs w:val="0"/>
          <w:lang w:val="en-US" w:eastAsia="zh-CN"/>
        </w:rPr>
      </w:pPr>
      <w:r>
        <w:rPr>
          <w:rFonts w:hint="eastAsia" w:ascii="宋体" w:hAnsi="宋体" w:cs="宋体"/>
          <w:b/>
          <w:lang w:eastAsia="zh-CN"/>
        </w:rPr>
        <w:t>维护</w:t>
      </w:r>
      <w:r>
        <w:rPr>
          <w:rFonts w:hint="eastAsia" w:ascii="宋体" w:hAnsi="宋体" w:cs="宋体"/>
          <w:b/>
        </w:rPr>
        <w:t>内容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jc w:val="both"/>
        <w:textAlignment w:val="auto"/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color w:val="auto"/>
          <w:sz w:val="21"/>
          <w:szCs w:val="21"/>
          <w:lang w:val="en-US" w:eastAsia="zh-CN"/>
        </w:rPr>
        <w:t>1.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  <w:lang w:val="en-US" w:eastAsia="zh-CN"/>
        </w:rPr>
        <w:t>系统日常运维与故障</w:t>
      </w:r>
      <w:r>
        <w:rPr>
          <w:rFonts w:hint="eastAsia" w:asciiTheme="minorEastAsia" w:hAnsiTheme="minorEastAsia" w:cstheme="minorEastAsia"/>
          <w:b/>
          <w:bCs/>
          <w:color w:val="auto"/>
          <w:sz w:val="21"/>
          <w:szCs w:val="21"/>
          <w:lang w:val="en-US" w:eastAsia="zh-CN"/>
        </w:rPr>
        <w:t>响应</w:t>
      </w:r>
    </w:p>
    <w:p>
      <w:pPr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jc w:val="left"/>
        <w:textAlignment w:val="auto"/>
        <w:rPr>
          <w:rFonts w:hint="eastAsia" w:ascii="宋体" w:hAnsi="宋体" w:cs="宋体" w:eastAsiaTheme="minorEastAsia"/>
          <w:color w:val="auto"/>
          <w:kern w:val="0"/>
          <w:sz w:val="21"/>
          <w:szCs w:val="22"/>
        </w:rPr>
      </w:pPr>
      <w:r>
        <w:rPr>
          <w:rFonts w:hint="eastAsia" w:asciiTheme="minorEastAsia" w:hAnsiTheme="minorEastAsia" w:cstheme="minorEastAsia"/>
          <w:color w:val="auto"/>
          <w:sz w:val="21"/>
          <w:szCs w:val="21"/>
          <w:lang w:val="en-US" w:eastAsia="zh-CN"/>
        </w:rPr>
        <w:t>(</w:t>
      </w:r>
      <w:r>
        <w:rPr>
          <w:rFonts w:hint="eastAsia" w:ascii="宋体" w:hAnsi="宋体" w:cs="宋体"/>
          <w:color w:val="auto"/>
          <w:kern w:val="0"/>
          <w:sz w:val="21"/>
          <w:szCs w:val="22"/>
          <w:lang w:val="en-US" w:eastAsia="zh-CN"/>
        </w:rPr>
        <w:t>1)</w:t>
      </w:r>
      <w:r>
        <w:rPr>
          <w:rFonts w:hint="eastAsia" w:ascii="宋体" w:hAnsi="宋体" w:cs="宋体" w:eastAsiaTheme="minorEastAsia"/>
          <w:b w:val="0"/>
          <w:color w:val="auto"/>
          <w:kern w:val="0"/>
          <w:sz w:val="21"/>
        </w:rPr>
        <w:t>常态化日常巡检服务</w:t>
      </w:r>
      <w:r>
        <w:rPr>
          <w:rFonts w:hint="eastAsia" w:ascii="宋体" w:hAnsi="宋体" w:cs="宋体" w:eastAsiaTheme="minorEastAsia"/>
          <w:b w:val="0"/>
          <w:color w:val="auto"/>
          <w:kern w:val="0"/>
          <w:sz w:val="21"/>
          <w:lang w:val="en-US" w:eastAsia="zh-CN"/>
        </w:rPr>
        <w:t>:</w:t>
      </w:r>
      <w:r>
        <w:rPr>
          <w:rFonts w:hint="eastAsia" w:ascii="宋体" w:hAnsi="宋体" w:cs="宋体" w:eastAsiaTheme="minorEastAsia"/>
          <w:color w:val="auto"/>
          <w:kern w:val="0"/>
          <w:sz w:val="21"/>
        </w:rPr>
        <w:t>服务商提供</w:t>
      </w:r>
      <w:r>
        <w:rPr>
          <w:rFonts w:hint="eastAsia" w:ascii="宋体" w:hAnsi="宋体" w:cs="宋体"/>
          <w:b w:val="0"/>
          <w:bCs w:val="0"/>
          <w:color w:val="auto"/>
          <w:kern w:val="0"/>
          <w:sz w:val="21"/>
          <w:highlight w:val="none"/>
          <w:lang w:eastAsia="zh-CN"/>
        </w:rPr>
        <w:t>每月</w:t>
      </w:r>
      <w:r>
        <w:rPr>
          <w:rFonts w:hint="eastAsia" w:ascii="宋体" w:hAnsi="宋体" w:cs="宋体" w:eastAsiaTheme="minorEastAsia"/>
          <w:color w:val="auto"/>
          <w:kern w:val="0"/>
          <w:sz w:val="21"/>
        </w:rPr>
        <w:t>开展一次全面线下+线上综合巡检，覆盖服务器硬件运行状态、操作系统、数据库、体检系统应用程序、全院对接接口链路、网络访问、终端使用等全维度内容。每次巡检完成后出具正式标准化巡检报告，记录系统运行数据、现存问题、潜在隐患、优化建议，对排查发现的故障隐患立即整改处理，提前规避系统故障、数据异常、接口中断等问题。</w:t>
      </w:r>
    </w:p>
    <w:p>
      <w:pPr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jc w:val="left"/>
        <w:textAlignment w:val="auto"/>
        <w:rPr>
          <w:rFonts w:hint="default" w:ascii="宋体" w:hAnsi="宋体" w:cs="宋体" w:eastAsiaTheme="minorEastAsia"/>
          <w:b/>
          <w:bCs/>
          <w:color w:val="auto"/>
          <w:kern w:val="0"/>
          <w:sz w:val="21"/>
          <w:szCs w:val="22"/>
          <w:highlight w:val="yellow"/>
          <w:lang w:val="en-US" w:eastAsia="zh-CN"/>
        </w:rPr>
      </w:pPr>
      <w:r>
        <w:rPr>
          <w:rFonts w:hint="eastAsia" w:ascii="宋体" w:hAnsi="宋体" w:cs="宋体"/>
          <w:color w:val="auto"/>
          <w:kern w:val="0"/>
          <w:sz w:val="21"/>
          <w:szCs w:val="22"/>
          <w:lang w:val="en-US" w:eastAsia="zh-CN"/>
        </w:rPr>
        <w:t>(2)</w:t>
      </w:r>
      <w:r>
        <w:rPr>
          <w:rFonts w:hint="eastAsia" w:ascii="宋体" w:hAnsi="宋体" w:cs="宋体" w:eastAsiaTheme="minorEastAsia"/>
          <w:b w:val="0"/>
          <w:color w:val="auto"/>
          <w:kern w:val="0"/>
          <w:sz w:val="21"/>
        </w:rPr>
        <w:t>分级故障应急处置</w:t>
      </w:r>
      <w:r>
        <w:rPr>
          <w:rFonts w:hint="eastAsia" w:ascii="宋体" w:hAnsi="宋体" w:cs="宋体"/>
          <w:b w:val="0"/>
          <w:color w:val="auto"/>
          <w:kern w:val="0"/>
          <w:sz w:val="21"/>
          <w:lang w:eastAsia="zh-CN"/>
        </w:rPr>
        <w:t>：</w:t>
      </w:r>
      <w:r>
        <w:rPr>
          <w:rFonts w:hint="eastAsia" w:ascii="宋体" w:hAnsi="宋体" w:cs="宋体" w:eastAsiaTheme="minorEastAsia"/>
          <w:color w:val="auto"/>
          <w:kern w:val="0"/>
          <w:sz w:val="21"/>
        </w:rPr>
        <w:t>建立完善的故障分级分类响应处置机制，根据系统故障严重程度、业务影响范围划分故障等级，制定对应处置方案</w:t>
      </w:r>
      <w:r>
        <w:rPr>
          <w:rFonts w:hint="eastAsia" w:ascii="宋体" w:hAnsi="宋体" w:cs="宋体"/>
          <w:color w:val="auto"/>
          <w:kern w:val="0"/>
          <w:sz w:val="21"/>
          <w:lang w:eastAsia="zh-CN"/>
        </w:rPr>
        <w:t>，</w:t>
      </w:r>
      <w:r>
        <w:rPr>
          <w:rFonts w:hint="eastAsia" w:ascii="宋体" w:hAnsi="宋体" w:cs="宋体"/>
          <w:b w:val="0"/>
          <w:bCs w:val="0"/>
          <w:color w:val="auto"/>
          <w:kern w:val="0"/>
          <w:sz w:val="21"/>
          <w:highlight w:val="none"/>
          <w:lang w:eastAsia="zh-CN"/>
        </w:rPr>
        <w:t>要求立刻响应</w:t>
      </w:r>
      <w:r>
        <w:rPr>
          <w:rFonts w:hint="eastAsia" w:ascii="宋体" w:hAnsi="宋体" w:cs="宋体" w:eastAsiaTheme="minorEastAsia"/>
          <w:color w:val="auto"/>
          <w:kern w:val="0"/>
          <w:sz w:val="21"/>
        </w:rPr>
        <w:t>。优先保障体检登记、科室检查、报告出具、结算收费等核心业务正常运行，杜绝核心业务长时间中断，确保各类故障快速定位、快速排查、快速修复。</w:t>
      </w:r>
    </w:p>
    <w:p>
      <w:pPr>
        <w:spacing w:before="0" w:after="0" w:line="360" w:lineRule="auto"/>
        <w:ind w:left="0"/>
        <w:jc w:val="left"/>
        <w:rPr>
          <w:rFonts w:hint="eastAsia" w:ascii="宋体" w:hAnsi="宋体" w:cs="宋体"/>
          <w:color w:val="auto"/>
          <w:kern w:val="0"/>
        </w:rPr>
      </w:pPr>
      <w:bookmarkStart w:id="3" w:name="heading_11"/>
      <w:r>
        <w:rPr>
          <w:rFonts w:hint="eastAsia" w:ascii="宋体" w:hAnsi="宋体" w:cs="宋体" w:eastAsiaTheme="minorEastAsia"/>
          <w:b w:val="0"/>
          <w:color w:val="auto"/>
          <w:kern w:val="0"/>
          <w:sz w:val="21"/>
          <w:lang w:val="en-US" w:eastAsia="zh-CN"/>
        </w:rPr>
        <w:t>(3)</w:t>
      </w:r>
      <w:r>
        <w:rPr>
          <w:rFonts w:hint="eastAsia" w:ascii="宋体" w:hAnsi="宋体" w:cs="宋体" w:eastAsiaTheme="minorEastAsia"/>
          <w:b w:val="0"/>
          <w:color w:val="auto"/>
          <w:kern w:val="0"/>
          <w:sz w:val="21"/>
        </w:rPr>
        <w:t xml:space="preserve"> 数据备份与系统灾难恢复</w:t>
      </w:r>
      <w:bookmarkEnd w:id="3"/>
      <w:r>
        <w:rPr>
          <w:rFonts w:hint="eastAsia" w:ascii="宋体" w:hAnsi="宋体" w:cs="宋体"/>
          <w:b w:val="0"/>
          <w:color w:val="auto"/>
          <w:kern w:val="0"/>
          <w:sz w:val="21"/>
          <w:lang w:eastAsia="zh-CN"/>
        </w:rPr>
        <w:t>：</w:t>
      </w:r>
      <w:r>
        <w:rPr>
          <w:rFonts w:hint="eastAsia" w:ascii="宋体" w:hAnsi="宋体" w:cs="宋体" w:eastAsiaTheme="minorEastAsia"/>
          <w:color w:val="auto"/>
          <w:kern w:val="0"/>
          <w:sz w:val="21"/>
        </w:rPr>
        <w:t>建立常态化、可验证的系统及数据备份机制，定期对系统配置文件、数据库核心数据、体检业务数据、用户权限数据、报表数据进行全量备份，并定期开展备份有效性验证工作。针对数据丢失、数据库异常、系统崩溃、接口瘫痪、服务中断等突发事故，提供极速恢复服务，确保</w:t>
      </w:r>
      <w:r>
        <w:rPr>
          <w:rFonts w:hint="eastAsia" w:ascii="宋体" w:hAnsi="宋体" w:cs="宋体" w:eastAsiaTheme="minorEastAsia"/>
          <w:b w:val="0"/>
          <w:color w:val="auto"/>
          <w:kern w:val="0"/>
          <w:sz w:val="21"/>
        </w:rPr>
        <w:t>核心数据零丢失、体检业务</w:t>
      </w:r>
      <w:r>
        <w:rPr>
          <w:rFonts w:hint="eastAsia" w:ascii="宋体" w:hAnsi="宋体" w:cs="宋体" w:eastAsiaTheme="minorEastAsia"/>
          <w:b w:val="0"/>
          <w:bCs w:val="0"/>
          <w:color w:val="auto"/>
          <w:kern w:val="0"/>
          <w:sz w:val="21"/>
          <w:highlight w:val="none"/>
        </w:rPr>
        <w:t>短时间</w:t>
      </w:r>
      <w:r>
        <w:rPr>
          <w:rFonts w:hint="eastAsia" w:ascii="宋体" w:hAnsi="宋体" w:cs="宋体"/>
          <w:b w:val="0"/>
          <w:bCs w:val="0"/>
          <w:color w:val="auto"/>
          <w:kern w:val="0"/>
          <w:sz w:val="21"/>
          <w:highlight w:val="none"/>
          <w:lang w:eastAsia="zh-CN"/>
        </w:rPr>
        <w:t>（半小时）</w:t>
      </w:r>
      <w:r>
        <w:rPr>
          <w:rFonts w:hint="eastAsia" w:ascii="宋体" w:hAnsi="宋体" w:cs="宋体" w:eastAsiaTheme="minorEastAsia"/>
          <w:b w:val="0"/>
          <w:color w:val="auto"/>
          <w:kern w:val="0"/>
          <w:sz w:val="21"/>
        </w:rPr>
        <w:t>内恢复运行</w:t>
      </w:r>
      <w:r>
        <w:rPr>
          <w:rFonts w:hint="eastAsia" w:ascii="宋体" w:hAnsi="宋体" w:cs="宋体" w:eastAsiaTheme="minorEastAsia"/>
          <w:color w:val="auto"/>
          <w:kern w:val="0"/>
          <w:sz w:val="21"/>
        </w:rPr>
        <w:t>。</w:t>
      </w:r>
    </w:p>
    <w:p>
      <w:pPr>
        <w:numPr>
          <w:ilvl w:val="0"/>
          <w:numId w:val="0"/>
        </w:numPr>
        <w:spacing w:before="120" w:after="120" w:line="360" w:lineRule="auto"/>
        <w:ind w:left="0"/>
        <w:jc w:val="both"/>
        <w:outlineLvl w:val="9"/>
        <w:rPr>
          <w:rFonts w:hint="eastAsia" w:asciiTheme="minorEastAsia" w:hAnsiTheme="minorEastAsia" w:cstheme="minorEastAsia"/>
          <w:b/>
          <w:bCs/>
          <w:color w:val="auto"/>
          <w:szCs w:val="21"/>
        </w:rPr>
      </w:pPr>
      <w:bookmarkStart w:id="4" w:name="heading_12"/>
      <w:r>
        <w:rPr>
          <w:rFonts w:hint="eastAsia" w:asciiTheme="minorEastAsia" w:hAnsiTheme="minorEastAsia" w:cstheme="minorEastAsia"/>
          <w:b/>
          <w:bCs/>
          <w:color w:val="auto"/>
          <w:sz w:val="21"/>
          <w:szCs w:val="21"/>
          <w:lang w:val="en-US" w:eastAsia="zh-CN"/>
        </w:rPr>
        <w:t>2、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</w:rPr>
        <w:t>业务模块功能运维保障</w:t>
      </w:r>
      <w:bookmarkEnd w:id="4"/>
    </w:p>
    <w:p>
      <w:pPr>
        <w:spacing w:before="0" w:after="0" w:line="360" w:lineRule="auto"/>
        <w:ind w:left="0" w:firstLine="420" w:firstLineChars="200"/>
        <w:jc w:val="left"/>
        <w:rPr>
          <w:rFonts w:hint="eastAsia" w:ascii="宋体" w:hAnsi="宋体" w:cs="宋体"/>
          <w:color w:val="auto"/>
          <w:kern w:val="0"/>
        </w:rPr>
      </w:pPr>
      <w:r>
        <w:rPr>
          <w:rFonts w:hint="eastAsia" w:ascii="宋体" w:hAnsi="宋体" w:cs="宋体" w:eastAsiaTheme="minorEastAsia"/>
          <w:color w:val="auto"/>
          <w:kern w:val="0"/>
          <w:sz w:val="21"/>
        </w:rPr>
        <w:t>服务商需对体检系统全业务模块提供终身运维保障，修复功能BUG、优化操作卡顿、修复逻辑错误、适配业务流程调整，保障各模块正常稳定使用，覆盖所有业务场景：</w:t>
      </w:r>
    </w:p>
    <w:p>
      <w:pPr>
        <w:spacing w:before="0" w:after="0" w:line="360" w:lineRule="auto"/>
        <w:ind w:left="0"/>
        <w:jc w:val="left"/>
        <w:rPr>
          <w:rFonts w:hint="eastAsia" w:ascii="宋体" w:hAnsi="宋体" w:cs="宋体"/>
          <w:color w:val="auto"/>
          <w:kern w:val="0"/>
        </w:rPr>
      </w:pPr>
      <w:bookmarkStart w:id="5" w:name="heading_13"/>
      <w:r>
        <w:rPr>
          <w:rFonts w:hint="eastAsia" w:ascii="宋体" w:hAnsi="宋体" w:cs="宋体" w:eastAsiaTheme="minorEastAsia"/>
          <w:b w:val="0"/>
          <w:color w:val="auto"/>
          <w:kern w:val="0"/>
          <w:sz w:val="21"/>
          <w:lang w:eastAsia="zh-CN"/>
        </w:rPr>
        <w:t>（</w:t>
      </w:r>
      <w:r>
        <w:rPr>
          <w:rFonts w:hint="eastAsia" w:ascii="宋体" w:hAnsi="宋体" w:cs="宋体" w:eastAsiaTheme="minorEastAsia"/>
          <w:b w:val="0"/>
          <w:color w:val="auto"/>
          <w:kern w:val="0"/>
          <w:sz w:val="21"/>
          <w:lang w:val="en-US" w:eastAsia="zh-CN"/>
        </w:rPr>
        <w:t>1</w:t>
      </w:r>
      <w:r>
        <w:rPr>
          <w:rFonts w:hint="eastAsia" w:ascii="宋体" w:hAnsi="宋体" w:cs="宋体" w:eastAsiaTheme="minorEastAsia"/>
          <w:b w:val="0"/>
          <w:color w:val="auto"/>
          <w:kern w:val="0"/>
          <w:sz w:val="21"/>
          <w:lang w:eastAsia="zh-CN"/>
        </w:rPr>
        <w:t>）</w:t>
      </w:r>
      <w:r>
        <w:rPr>
          <w:rFonts w:hint="eastAsia" w:ascii="宋体" w:hAnsi="宋体" w:cs="宋体" w:eastAsiaTheme="minorEastAsia"/>
          <w:b w:val="0"/>
          <w:color w:val="auto"/>
          <w:kern w:val="0"/>
          <w:sz w:val="21"/>
        </w:rPr>
        <w:t>检前业务模块</w:t>
      </w:r>
      <w:bookmarkEnd w:id="5"/>
      <w:r>
        <w:rPr>
          <w:rFonts w:hint="eastAsia" w:ascii="宋体" w:hAnsi="宋体" w:cs="宋体"/>
          <w:b w:val="0"/>
          <w:color w:val="auto"/>
          <w:kern w:val="0"/>
          <w:sz w:val="21"/>
          <w:lang w:eastAsia="zh-CN"/>
        </w:rPr>
        <w:t>：</w:t>
      </w:r>
      <w:r>
        <w:rPr>
          <w:rFonts w:hint="eastAsia" w:ascii="宋体" w:hAnsi="宋体" w:cs="宋体" w:eastAsiaTheme="minorEastAsia"/>
          <w:color w:val="auto"/>
          <w:kern w:val="0"/>
          <w:sz w:val="21"/>
        </w:rPr>
        <w:t>包含个人体检/团体体检微信预约、体检问卷管理、医院及体检中心信息展示、订单管理、用户中心管理、基础数据维护、消息推送配置、前端功能配置等功能的运维优化与故障修复。</w:t>
      </w:r>
    </w:p>
    <w:p>
      <w:pPr>
        <w:spacing w:before="0" w:after="0" w:line="360" w:lineRule="auto"/>
        <w:ind w:left="0"/>
        <w:jc w:val="left"/>
        <w:rPr>
          <w:rFonts w:hint="eastAsia" w:ascii="宋体" w:hAnsi="宋体" w:cs="宋体"/>
          <w:color w:val="auto"/>
          <w:kern w:val="0"/>
        </w:rPr>
      </w:pPr>
      <w:bookmarkStart w:id="6" w:name="heading_14"/>
      <w:r>
        <w:rPr>
          <w:rFonts w:hint="eastAsia" w:ascii="宋体" w:hAnsi="宋体" w:cs="宋体" w:eastAsiaTheme="minorEastAsia"/>
          <w:b w:val="0"/>
          <w:color w:val="auto"/>
          <w:kern w:val="0"/>
          <w:sz w:val="21"/>
          <w:lang w:eastAsia="zh-CN"/>
        </w:rPr>
        <w:t>（</w:t>
      </w:r>
      <w:r>
        <w:rPr>
          <w:rFonts w:hint="eastAsia" w:ascii="宋体" w:hAnsi="宋体" w:cs="宋体" w:eastAsiaTheme="minorEastAsia"/>
          <w:b w:val="0"/>
          <w:color w:val="auto"/>
          <w:kern w:val="0"/>
          <w:sz w:val="21"/>
          <w:lang w:val="en-US" w:eastAsia="zh-CN"/>
        </w:rPr>
        <w:t>2</w:t>
      </w:r>
      <w:r>
        <w:rPr>
          <w:rFonts w:hint="eastAsia" w:ascii="宋体" w:hAnsi="宋体" w:cs="宋体" w:eastAsiaTheme="minorEastAsia"/>
          <w:b w:val="0"/>
          <w:color w:val="auto"/>
          <w:kern w:val="0"/>
          <w:sz w:val="21"/>
          <w:lang w:eastAsia="zh-CN"/>
        </w:rPr>
        <w:t>）</w:t>
      </w:r>
      <w:r>
        <w:rPr>
          <w:rFonts w:hint="eastAsia" w:ascii="宋体" w:hAnsi="宋体" w:cs="宋体" w:eastAsiaTheme="minorEastAsia"/>
          <w:b w:val="0"/>
          <w:color w:val="auto"/>
          <w:kern w:val="0"/>
          <w:sz w:val="21"/>
        </w:rPr>
        <w:t xml:space="preserve"> 检中业务模块</w:t>
      </w:r>
      <w:bookmarkEnd w:id="6"/>
      <w:r>
        <w:rPr>
          <w:rFonts w:hint="eastAsia" w:ascii="宋体" w:hAnsi="宋体" w:cs="宋体"/>
          <w:b w:val="0"/>
          <w:color w:val="auto"/>
          <w:kern w:val="0"/>
          <w:sz w:val="21"/>
          <w:lang w:eastAsia="zh-CN"/>
        </w:rPr>
        <w:t>：</w:t>
      </w:r>
      <w:r>
        <w:rPr>
          <w:rFonts w:hint="eastAsia" w:ascii="宋体" w:hAnsi="宋体" w:cs="宋体" w:eastAsiaTheme="minorEastAsia"/>
          <w:color w:val="auto"/>
          <w:kern w:val="0"/>
          <w:sz w:val="21"/>
        </w:rPr>
        <w:t>包含体检质量质控、系统参数设置、体检状态实时管理、基础信息查询与维护、体检专家词库管理、体检套餐新增/修改/下架管理、用户权限管理、体检登记管理、科室检查录入、总检审核、体检报告初审终审、财务结算、多维度业务报表、短信通知管理等全模块运维保障。</w:t>
      </w:r>
    </w:p>
    <w:p>
      <w:pPr>
        <w:spacing w:before="0" w:after="0" w:line="360" w:lineRule="auto"/>
        <w:ind w:left="0"/>
        <w:jc w:val="left"/>
        <w:rPr>
          <w:rFonts w:hint="eastAsia" w:ascii="宋体" w:hAnsi="宋体" w:cs="宋体"/>
          <w:color w:val="auto"/>
          <w:kern w:val="0"/>
        </w:rPr>
      </w:pPr>
      <w:bookmarkStart w:id="7" w:name="heading_15"/>
      <w:r>
        <w:rPr>
          <w:rFonts w:hint="eastAsia" w:ascii="宋体" w:hAnsi="宋体" w:cs="宋体" w:eastAsiaTheme="minorEastAsia"/>
          <w:b w:val="0"/>
          <w:color w:val="auto"/>
          <w:kern w:val="0"/>
          <w:sz w:val="21"/>
          <w:lang w:eastAsia="zh-CN"/>
        </w:rPr>
        <w:t>（</w:t>
      </w:r>
      <w:r>
        <w:rPr>
          <w:rFonts w:hint="eastAsia" w:ascii="宋体" w:hAnsi="宋体" w:cs="宋体" w:eastAsiaTheme="minorEastAsia"/>
          <w:b w:val="0"/>
          <w:color w:val="auto"/>
          <w:kern w:val="0"/>
          <w:sz w:val="21"/>
          <w:lang w:val="en-US" w:eastAsia="zh-CN"/>
        </w:rPr>
        <w:t>3</w:t>
      </w:r>
      <w:r>
        <w:rPr>
          <w:rFonts w:hint="eastAsia" w:ascii="宋体" w:hAnsi="宋体" w:cs="宋体" w:eastAsiaTheme="minorEastAsia"/>
          <w:b w:val="0"/>
          <w:color w:val="auto"/>
          <w:kern w:val="0"/>
          <w:sz w:val="21"/>
          <w:lang w:eastAsia="zh-CN"/>
        </w:rPr>
        <w:t>）</w:t>
      </w:r>
      <w:r>
        <w:rPr>
          <w:rFonts w:hint="eastAsia" w:ascii="宋体" w:hAnsi="宋体" w:cs="宋体" w:eastAsiaTheme="minorEastAsia"/>
          <w:b w:val="0"/>
          <w:color w:val="auto"/>
          <w:kern w:val="0"/>
          <w:sz w:val="21"/>
        </w:rPr>
        <w:t>检后业务模块</w:t>
      </w:r>
      <w:bookmarkEnd w:id="7"/>
      <w:r>
        <w:rPr>
          <w:rFonts w:hint="eastAsia" w:ascii="宋体" w:hAnsi="宋体" w:cs="宋体"/>
          <w:b w:val="0"/>
          <w:color w:val="auto"/>
          <w:kern w:val="0"/>
          <w:sz w:val="21"/>
          <w:lang w:eastAsia="zh-CN"/>
        </w:rPr>
        <w:t>：</w:t>
      </w:r>
      <w:r>
        <w:rPr>
          <w:rFonts w:hint="eastAsia" w:ascii="宋体" w:hAnsi="宋体" w:cs="宋体" w:eastAsiaTheme="minorEastAsia"/>
          <w:color w:val="auto"/>
          <w:kern w:val="0"/>
          <w:sz w:val="21"/>
        </w:rPr>
        <w:t>包含体检人员随访管理、体检阳性/结节异常结果专项管理、随访短信推送、检后数据统计、异常病例跟踪等功能的日常维护、问题修复与功能优化。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ind w:left="0"/>
        <w:jc w:val="left"/>
        <w:textAlignment w:val="auto"/>
        <w:outlineLvl w:val="9"/>
        <w:rPr>
          <w:rFonts w:hint="eastAsia" w:asciiTheme="minorEastAsia" w:hAnsiTheme="minorEastAsia" w:cstheme="minorEastAsia"/>
          <w:b/>
          <w:color w:val="auto"/>
          <w:sz w:val="21"/>
          <w:szCs w:val="21"/>
          <w:lang w:val="en-US" w:eastAsia="zh-CN"/>
        </w:rPr>
      </w:pPr>
      <w:bookmarkStart w:id="8" w:name="heading_16"/>
      <w:r>
        <w:rPr>
          <w:rFonts w:hint="eastAsia" w:ascii="宋体" w:hAnsi="宋体" w:cs="宋体" w:eastAsiaTheme="minorEastAsia"/>
          <w:b w:val="0"/>
          <w:color w:val="auto"/>
          <w:kern w:val="0"/>
          <w:sz w:val="21"/>
          <w:lang w:eastAsia="zh-CN"/>
        </w:rPr>
        <w:t>（</w:t>
      </w:r>
      <w:r>
        <w:rPr>
          <w:rFonts w:hint="eastAsia" w:ascii="宋体" w:hAnsi="宋体" w:cs="宋体" w:eastAsiaTheme="minorEastAsia"/>
          <w:b w:val="0"/>
          <w:color w:val="auto"/>
          <w:kern w:val="0"/>
          <w:sz w:val="21"/>
          <w:lang w:val="en-US" w:eastAsia="zh-CN"/>
        </w:rPr>
        <w:t>4</w:t>
      </w:r>
      <w:r>
        <w:rPr>
          <w:rFonts w:hint="eastAsia" w:ascii="宋体" w:hAnsi="宋体" w:cs="宋体" w:eastAsiaTheme="minorEastAsia"/>
          <w:b w:val="0"/>
          <w:color w:val="auto"/>
          <w:kern w:val="0"/>
          <w:sz w:val="21"/>
          <w:lang w:eastAsia="zh-CN"/>
        </w:rPr>
        <w:t>）</w:t>
      </w:r>
      <w:r>
        <w:rPr>
          <w:rFonts w:hint="eastAsia" w:ascii="宋体" w:hAnsi="宋体" w:cs="宋体" w:eastAsiaTheme="minorEastAsia"/>
          <w:b w:val="0"/>
          <w:color w:val="auto"/>
          <w:kern w:val="0"/>
          <w:sz w:val="21"/>
        </w:rPr>
        <w:t>智能导检模块</w:t>
      </w:r>
      <w:bookmarkEnd w:id="8"/>
      <w:r>
        <w:rPr>
          <w:rFonts w:hint="eastAsia" w:ascii="宋体" w:hAnsi="宋体" w:cs="宋体"/>
          <w:b w:val="0"/>
          <w:color w:val="auto"/>
          <w:kern w:val="0"/>
          <w:sz w:val="21"/>
          <w:lang w:eastAsia="zh-CN"/>
        </w:rPr>
        <w:t>：</w:t>
      </w:r>
      <w:r>
        <w:rPr>
          <w:rFonts w:hint="eastAsia" w:ascii="宋体" w:hAnsi="宋体" w:cs="宋体" w:eastAsiaTheme="minorEastAsia"/>
          <w:color w:val="auto"/>
          <w:kern w:val="0"/>
          <w:sz w:val="21"/>
        </w:rPr>
        <w:t>包含系统权限管理、微信端导检配置、业务预警提醒、弹性参数配置、智能导检规则优化、导检流程控制、护士导检台、医生工作站、自助报到、自助报告查询、微信导检、业务数据统计等功能的全程运维保障，确保智能导检流程顺畅、分流高效。</w:t>
      </w:r>
    </w:p>
    <w:p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/>
        <w:jc w:val="both"/>
        <w:textAlignment w:val="auto"/>
        <w:outlineLvl w:val="9"/>
        <w:rPr>
          <w:rFonts w:hint="eastAsia" w:asciiTheme="minorEastAsia" w:hAnsiTheme="minorEastAsia" w:eastAsiaTheme="minorEastAsia" w:cstheme="minorEastAsia"/>
          <w:b w:val="0"/>
          <w:bCs w:val="0"/>
          <w:color w:val="auto"/>
          <w:sz w:val="21"/>
          <w:szCs w:val="21"/>
        </w:rPr>
      </w:pPr>
      <w:bookmarkStart w:id="9" w:name="heading_4"/>
      <w:r>
        <w:rPr>
          <w:rFonts w:hint="eastAsia" w:asciiTheme="minorEastAsia" w:hAnsiTheme="minorEastAsia" w:cstheme="minorEastAsia"/>
          <w:b/>
          <w:bCs/>
          <w:color w:val="auto"/>
          <w:sz w:val="21"/>
          <w:szCs w:val="21"/>
          <w:lang w:val="en-US" w:eastAsia="zh-CN"/>
        </w:rPr>
        <w:t>3.</w:t>
      </w:r>
      <w:r>
        <w:rPr>
          <w:rFonts w:hint="eastAsia" w:asciiTheme="minorEastAsia" w:hAnsiTheme="minorEastAsia" w:eastAsiaTheme="minorEastAsia" w:cstheme="minorEastAsia"/>
          <w:b/>
          <w:bCs/>
          <w:color w:val="auto"/>
          <w:sz w:val="21"/>
          <w:szCs w:val="21"/>
        </w:rPr>
        <w:t>系统升级与接口维护功能</w:t>
      </w:r>
      <w:bookmarkEnd w:id="9"/>
    </w:p>
    <w:p>
      <w:pPr>
        <w:widowControl/>
        <w:spacing w:before="0" w:after="0" w:line="360" w:lineRule="auto"/>
        <w:ind w:left="0"/>
        <w:jc w:val="left"/>
        <w:outlineLvl w:val="9"/>
        <w:rPr>
          <w:rFonts w:hint="eastAsia" w:ascii="宋体" w:hAnsi="宋体" w:cs="宋体"/>
          <w:color w:val="auto"/>
          <w:kern w:val="0"/>
        </w:rPr>
      </w:pPr>
      <w:bookmarkStart w:id="10" w:name="heading_18"/>
      <w:r>
        <w:rPr>
          <w:rFonts w:hint="eastAsia" w:ascii="宋体" w:hAnsi="宋体" w:cs="宋体" w:eastAsiaTheme="minorEastAsia"/>
          <w:b w:val="0"/>
          <w:color w:val="auto"/>
          <w:kern w:val="0"/>
          <w:sz w:val="21"/>
          <w:lang w:eastAsia="zh-CN"/>
        </w:rPr>
        <w:t>（</w:t>
      </w:r>
      <w:r>
        <w:rPr>
          <w:rFonts w:hint="eastAsia" w:ascii="宋体" w:hAnsi="宋体" w:cs="宋体" w:eastAsiaTheme="minorEastAsia"/>
          <w:b w:val="0"/>
          <w:color w:val="auto"/>
          <w:kern w:val="0"/>
          <w:sz w:val="21"/>
          <w:lang w:val="en-US" w:eastAsia="zh-CN"/>
        </w:rPr>
        <w:t>1</w:t>
      </w:r>
      <w:r>
        <w:rPr>
          <w:rFonts w:hint="eastAsia" w:ascii="宋体" w:hAnsi="宋体" w:cs="宋体" w:eastAsiaTheme="minorEastAsia"/>
          <w:b w:val="0"/>
          <w:color w:val="auto"/>
          <w:kern w:val="0"/>
          <w:sz w:val="21"/>
          <w:lang w:eastAsia="zh-CN"/>
        </w:rPr>
        <w:t>）</w:t>
      </w:r>
      <w:r>
        <w:rPr>
          <w:rFonts w:hint="eastAsia" w:ascii="宋体" w:hAnsi="宋体" w:cs="宋体" w:eastAsiaTheme="minorEastAsia"/>
          <w:b w:val="0"/>
          <w:color w:val="auto"/>
          <w:kern w:val="0"/>
          <w:sz w:val="21"/>
        </w:rPr>
        <w:t>全链路接口维护保障</w:t>
      </w:r>
      <w:bookmarkEnd w:id="10"/>
      <w:r>
        <w:rPr>
          <w:rFonts w:hint="eastAsia" w:ascii="宋体" w:hAnsi="宋体" w:cs="宋体" w:eastAsiaTheme="minorEastAsia"/>
          <w:b w:val="0"/>
          <w:color w:val="auto"/>
          <w:kern w:val="0"/>
          <w:sz w:val="21"/>
          <w:lang w:eastAsia="zh-CN"/>
        </w:rPr>
        <w:t>：</w:t>
      </w:r>
      <w:r>
        <w:rPr>
          <w:rFonts w:hint="eastAsia" w:ascii="宋体" w:hAnsi="宋体" w:cs="宋体" w:eastAsiaTheme="minorEastAsia"/>
          <w:color w:val="auto"/>
          <w:kern w:val="0"/>
          <w:sz w:val="21"/>
        </w:rPr>
        <w:t>负责体检系统与院内各类业务系统、第三方平台、体检设备的接口运维工作，涵盖HIS系统、LIS检验系统、PACS影像系统、心电系统、健康证管理系统、外送体检项目接口、医院微信公众号端、智能导检系统、绩效系统、短信平台、</w:t>
      </w:r>
      <w:r>
        <w:rPr>
          <w:rFonts w:hint="eastAsia" w:ascii="宋体" w:hAnsi="宋体" w:cs="宋体" w:eastAsiaTheme="minorEastAsia"/>
          <w:color w:val="auto"/>
          <w:kern w:val="0"/>
          <w:sz w:val="21"/>
          <w:lang w:eastAsia="zh-CN"/>
        </w:rPr>
        <w:t>成本管理系统、</w:t>
      </w:r>
      <w:r>
        <w:rPr>
          <w:rFonts w:hint="eastAsia" w:ascii="宋体" w:hAnsi="宋体" w:cs="宋体" w:eastAsiaTheme="minorEastAsia"/>
          <w:color w:val="auto"/>
          <w:kern w:val="0"/>
          <w:sz w:val="21"/>
        </w:rPr>
        <w:t>院内检查预约系统、网约体检接口、检后报告读取接口、呼气试验系统及各类体检小型智能设备接口。保障接口链路通畅、数据实时同步、交互精准无误，及时处理接口中断、数据延迟、数据错乱、同步失败等各类问题，保障全院信息化系统一体化、协同化运行。</w:t>
      </w:r>
    </w:p>
    <w:p>
      <w:pPr>
        <w:widowControl/>
        <w:spacing w:before="0" w:after="0" w:line="360" w:lineRule="auto"/>
        <w:ind w:left="0"/>
        <w:jc w:val="left"/>
        <w:outlineLvl w:val="9"/>
        <w:rPr>
          <w:rFonts w:hint="eastAsia" w:ascii="宋体" w:hAnsi="宋体" w:cs="宋体"/>
          <w:color w:val="auto"/>
          <w:kern w:val="0"/>
        </w:rPr>
      </w:pPr>
      <w:bookmarkStart w:id="11" w:name="heading_19"/>
      <w:r>
        <w:rPr>
          <w:rFonts w:hint="eastAsia" w:ascii="宋体" w:hAnsi="宋体" w:cs="宋体" w:eastAsiaTheme="minorEastAsia"/>
          <w:b w:val="0"/>
          <w:color w:val="auto"/>
          <w:kern w:val="0"/>
          <w:sz w:val="21"/>
          <w:lang w:eastAsia="zh-CN"/>
        </w:rPr>
        <w:t>（</w:t>
      </w:r>
      <w:r>
        <w:rPr>
          <w:rFonts w:hint="eastAsia" w:ascii="宋体" w:hAnsi="宋体" w:cs="宋体" w:eastAsiaTheme="minorEastAsia"/>
          <w:b w:val="0"/>
          <w:color w:val="auto"/>
          <w:kern w:val="0"/>
          <w:sz w:val="21"/>
          <w:lang w:val="en-US" w:eastAsia="zh-CN"/>
        </w:rPr>
        <w:t>2</w:t>
      </w:r>
      <w:r>
        <w:rPr>
          <w:rFonts w:hint="eastAsia" w:ascii="宋体" w:hAnsi="宋体" w:cs="宋体" w:eastAsiaTheme="minorEastAsia"/>
          <w:b w:val="0"/>
          <w:color w:val="auto"/>
          <w:kern w:val="0"/>
          <w:sz w:val="21"/>
          <w:lang w:eastAsia="zh-CN"/>
        </w:rPr>
        <w:t>）</w:t>
      </w:r>
      <w:r>
        <w:rPr>
          <w:rFonts w:hint="eastAsia" w:ascii="宋体" w:hAnsi="宋体" w:cs="宋体" w:eastAsiaTheme="minorEastAsia"/>
          <w:b w:val="0"/>
          <w:color w:val="auto"/>
          <w:kern w:val="0"/>
          <w:sz w:val="21"/>
        </w:rPr>
        <w:t>系统版本迭代与更新</w:t>
      </w:r>
      <w:bookmarkEnd w:id="11"/>
      <w:r>
        <w:rPr>
          <w:rFonts w:hint="eastAsia" w:ascii="宋体" w:hAnsi="宋体" w:cs="宋体"/>
          <w:b w:val="0"/>
          <w:color w:val="auto"/>
          <w:kern w:val="0"/>
          <w:sz w:val="21"/>
          <w:lang w:eastAsia="zh-CN"/>
        </w:rPr>
        <w:t>：</w:t>
      </w:r>
      <w:r>
        <w:rPr>
          <w:rFonts w:hint="eastAsia" w:ascii="宋体" w:hAnsi="宋体" w:cs="宋体" w:eastAsiaTheme="minorEastAsia"/>
          <w:color w:val="auto"/>
          <w:kern w:val="0"/>
          <w:sz w:val="21"/>
        </w:rPr>
        <w:t>维保期内根据行业规范更新、业务需求优化、安全漏洞修复要求，免费为医院提供系统稳定版本迭代、小功能优化、BUG修复、版本升级服务，持续优化系统运行性能，适配最新医疗业务及监管要求。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 w:after="120" w:line="360" w:lineRule="auto"/>
        <w:ind w:left="0"/>
        <w:jc w:val="left"/>
        <w:textAlignment w:val="auto"/>
        <w:outlineLvl w:val="1"/>
        <w:rPr>
          <w:rFonts w:hint="eastAsia" w:asciiTheme="minorEastAsia" w:hAnsiTheme="minorEastAsia" w:eastAsiaTheme="minorEastAsia" w:cstheme="minorEastAsia"/>
          <w:sz w:val="21"/>
          <w:szCs w:val="21"/>
        </w:rPr>
      </w:pPr>
      <w:bookmarkStart w:id="12" w:name="heading_6"/>
      <w:r>
        <w:rPr>
          <w:rFonts w:hint="eastAsia" w:asciiTheme="minorEastAsia" w:hAnsiTheme="minorEastAsia" w:cstheme="minorEastAsia"/>
          <w:b/>
          <w:sz w:val="21"/>
          <w:szCs w:val="21"/>
          <w:lang w:val="en-US" w:eastAsia="zh-CN"/>
        </w:rPr>
        <w:t>4.</w:t>
      </w:r>
      <w:r>
        <w:rPr>
          <w:rFonts w:hint="eastAsia" w:asciiTheme="minorEastAsia" w:hAnsiTheme="minorEastAsia" w:eastAsiaTheme="minorEastAsia" w:cstheme="minorEastAsia"/>
          <w:b/>
          <w:sz w:val="21"/>
          <w:szCs w:val="21"/>
        </w:rPr>
        <w:t>数据安全与合规保障功能</w:t>
      </w:r>
      <w:bookmarkEnd w:id="12"/>
    </w:p>
    <w:p>
      <w:pPr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jc w:val="left"/>
        <w:textAlignment w:val="auto"/>
        <w:outlineLvl w:val="9"/>
        <w:rPr>
          <w:rFonts w:hint="eastAsia" w:ascii="宋体" w:hAnsi="宋体" w:cs="宋体" w:eastAsiaTheme="minorEastAsia"/>
          <w:color w:val="auto"/>
          <w:kern w:val="0"/>
          <w:sz w:val="21"/>
          <w:szCs w:val="22"/>
        </w:rPr>
      </w:pPr>
      <w:r>
        <w:rPr>
          <w:rFonts w:hint="eastAsia" w:ascii="宋体" w:hAnsi="宋体" w:cs="宋体"/>
          <w:color w:val="auto"/>
          <w:kern w:val="0"/>
          <w:sz w:val="21"/>
          <w:szCs w:val="22"/>
          <w:lang w:val="en-US" w:eastAsia="zh-CN"/>
        </w:rPr>
        <w:t>（1）</w:t>
      </w:r>
      <w:r>
        <w:rPr>
          <w:rFonts w:hint="eastAsia" w:ascii="宋体" w:hAnsi="宋体" w:cs="宋体" w:eastAsiaTheme="minorEastAsia"/>
          <w:color w:val="auto"/>
          <w:kern w:val="0"/>
          <w:sz w:val="21"/>
          <w:szCs w:val="22"/>
        </w:rPr>
        <w:t>安全防护功能：定期对系统进行安全漏洞检测、病毒查杀，修复安全隐患，落实数据加密、访问控制、防篡改等安全措施，保障病案首页患者隐私数据、医疗核心数据安全，符合《个人信息保护法》《医疗卫生机构网络安全管理办法》要求。</w:t>
      </w:r>
    </w:p>
    <w:p>
      <w:pPr>
        <w:keepNext w:val="0"/>
        <w:keepLines w:val="0"/>
        <w:pageBreakBefore w:val="0"/>
        <w:widowControl/>
        <w:numPr>
          <w:ilvl w:val="-1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after="0" w:line="360" w:lineRule="auto"/>
        <w:jc w:val="left"/>
        <w:textAlignment w:val="auto"/>
        <w:outlineLvl w:val="9"/>
        <w:rPr>
          <w:rFonts w:hint="eastAsia" w:asciiTheme="minorEastAsia" w:hAnsiTheme="minorEastAsia" w:eastAsiaTheme="minorEastAsia" w:cstheme="minorEastAsia"/>
          <w:sz w:val="21"/>
          <w:szCs w:val="21"/>
        </w:rPr>
      </w:pPr>
      <w:r>
        <w:rPr>
          <w:rFonts w:hint="eastAsia" w:ascii="宋体" w:hAnsi="宋体" w:cs="宋体"/>
          <w:color w:val="auto"/>
          <w:kern w:val="0"/>
          <w:sz w:val="21"/>
          <w:szCs w:val="22"/>
          <w:lang w:val="en-US" w:eastAsia="zh-CN"/>
        </w:rPr>
        <w:t>（2）</w:t>
      </w:r>
      <w:r>
        <w:rPr>
          <w:rFonts w:hint="eastAsia" w:ascii="宋体" w:hAnsi="宋体" w:cs="宋体" w:eastAsiaTheme="minorEastAsia"/>
          <w:color w:val="auto"/>
          <w:kern w:val="0"/>
          <w:sz w:val="21"/>
          <w:szCs w:val="22"/>
        </w:rPr>
        <w:t>合规保障功能：</w:t>
      </w:r>
      <w:r>
        <w:rPr>
          <w:rFonts w:hint="eastAsia" w:ascii="宋体" w:hAnsi="宋体" w:cs="宋体" w:eastAsiaTheme="minorEastAsia"/>
          <w:color w:val="auto"/>
          <w:kern w:val="0"/>
          <w:sz w:val="21"/>
        </w:rPr>
        <w:t>确保系统运行模式、数据处理规则、数据统计、上报输出、业务流程完全符合国家、广东省及卫健部门相关法律法规、行业规范及监管要求，主动适配政策更新，规避系统不合规导致的监管通报、整改处罚、数据错报等风险。</w:t>
      </w:r>
    </w:p>
    <w:bookmarkEnd w:id="2"/>
    <w:p>
      <w:pPr>
        <w:spacing w:line="360" w:lineRule="auto"/>
        <w:rPr>
          <w:rFonts w:ascii="宋体" w:hAnsi="宋体" w:cs="宋体"/>
          <w:b/>
        </w:rPr>
      </w:pPr>
      <w:bookmarkStart w:id="13" w:name="_Toc847"/>
      <w:r>
        <w:rPr>
          <w:rFonts w:hint="eastAsia" w:ascii="宋体" w:hAnsi="宋体" w:cs="宋体"/>
          <w:b/>
        </w:rPr>
        <w:t>五、项目商务要求</w:t>
      </w:r>
      <w:bookmarkEnd w:id="13"/>
    </w:p>
    <w:p>
      <w:pPr>
        <w:spacing w:line="360" w:lineRule="auto"/>
        <w:rPr>
          <w:rFonts w:ascii="宋体" w:hAnsi="宋体" w:cs="宋体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color w:val="000000" w:themeColor="text1"/>
          <w14:textFill>
            <w14:solidFill>
              <w14:schemeClr w14:val="tx1"/>
            </w14:solidFill>
          </w14:textFill>
        </w:rPr>
        <w:t>1．维保时间：</w:t>
      </w:r>
    </w:p>
    <w:p>
      <w:pPr>
        <w:spacing w:line="360" w:lineRule="auto"/>
        <w:ind w:firstLine="420" w:firstLineChars="200"/>
        <w:rPr>
          <w:rFonts w:ascii="宋体" w:hAnsi="宋体" w:cs="宋体"/>
          <w:color w:val="auto"/>
        </w:rPr>
      </w:pPr>
      <w:r>
        <w:rPr>
          <w:rFonts w:hint="eastAsia" w:ascii="宋体" w:hAnsi="宋体" w:cs="宋体"/>
          <w:color w:val="auto"/>
          <w:lang w:eastAsia="zh-CN"/>
        </w:rPr>
        <w:t>自</w:t>
      </w:r>
      <w:r>
        <w:rPr>
          <w:rFonts w:hint="eastAsia" w:ascii="宋体" w:hAnsi="宋体" w:cs="宋体"/>
          <w:color w:val="auto"/>
        </w:rPr>
        <w:t>合同签订之日起</w:t>
      </w:r>
      <w:r>
        <w:rPr>
          <w:rFonts w:hint="eastAsia" w:ascii="宋体" w:hAnsi="宋体" w:cs="宋体"/>
          <w:color w:val="auto"/>
          <w:lang w:eastAsia="zh-CN"/>
        </w:rPr>
        <w:t>，服务周期</w:t>
      </w:r>
      <w:r>
        <w:rPr>
          <w:rFonts w:hint="eastAsia" w:ascii="宋体" w:hAnsi="宋体" w:cs="宋体"/>
          <w:color w:val="auto"/>
          <w:lang w:val="en-US" w:eastAsia="zh-CN"/>
        </w:rPr>
        <w:t>3</w:t>
      </w:r>
      <w:r>
        <w:rPr>
          <w:rFonts w:hint="eastAsia" w:ascii="宋体" w:hAnsi="宋体" w:cs="宋体"/>
          <w:color w:val="auto"/>
        </w:rPr>
        <w:t>年。</w:t>
      </w:r>
    </w:p>
    <w:p>
      <w:pPr>
        <w:spacing w:line="360" w:lineRule="auto"/>
        <w:rPr>
          <w:rFonts w:ascii="宋体" w:hAnsi="宋体" w:cs="宋体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color w:val="000000" w:themeColor="text1"/>
          <w14:textFill>
            <w14:solidFill>
              <w14:schemeClr w14:val="tx1"/>
            </w14:solidFill>
          </w14:textFill>
        </w:rPr>
        <w:t>2．维保地点：</w:t>
      </w:r>
      <w:r>
        <w:rPr>
          <w:rFonts w:hint="eastAsia" w:ascii="宋体" w:hAnsi="宋体" w:cs="宋体"/>
          <w:color w:val="000000" w:themeColor="text1"/>
          <w14:textFill>
            <w14:solidFill>
              <w14:schemeClr w14:val="tx1"/>
            </w14:solidFill>
          </w14:textFill>
        </w:rPr>
        <w:t>惠州市中大惠亚医院</w:t>
      </w:r>
    </w:p>
    <w:p>
      <w:pPr>
        <w:spacing w:line="360" w:lineRule="auto"/>
        <w:rPr>
          <w:rFonts w:ascii="宋体" w:hAnsi="宋体" w:cs="宋体"/>
          <w:b/>
        </w:rPr>
      </w:pPr>
      <w:r>
        <w:rPr>
          <w:rFonts w:hint="eastAsia" w:ascii="宋体" w:hAnsi="宋体" w:cs="宋体"/>
          <w:b/>
        </w:rPr>
        <w:t>3．验收要求：</w:t>
      </w:r>
    </w:p>
    <w:p>
      <w:pPr>
        <w:widowControl/>
        <w:numPr>
          <w:ilvl w:val="0"/>
          <w:numId w:val="0"/>
        </w:numPr>
        <w:spacing w:before="0" w:after="0" w:line="360" w:lineRule="auto"/>
        <w:jc w:val="left"/>
        <w:outlineLvl w:val="9"/>
        <w:rPr>
          <w:rFonts w:hint="eastAsia" w:ascii="宋体" w:hAnsi="宋体" w:cs="宋体"/>
          <w:color w:val="auto"/>
          <w:kern w:val="0"/>
        </w:rPr>
      </w:pPr>
      <w:r>
        <w:rPr>
          <w:rFonts w:hint="eastAsia" w:ascii="宋体" w:hAnsi="宋体" w:cs="宋体"/>
          <w:color w:val="auto"/>
          <w:kern w:val="0"/>
        </w:rPr>
        <w:t>（1）</w:t>
      </w:r>
      <w:r>
        <w:rPr>
          <w:rFonts w:hint="eastAsia" w:ascii="宋体" w:hAnsi="宋体" w:cs="宋体" w:eastAsiaTheme="minorEastAsia"/>
          <w:color w:val="auto"/>
          <w:kern w:val="0"/>
          <w:sz w:val="21"/>
        </w:rPr>
        <w:t>本项目实行</w:t>
      </w:r>
      <w:r>
        <w:rPr>
          <w:rFonts w:hint="eastAsia" w:ascii="宋体" w:hAnsi="宋体" w:cs="宋体" w:eastAsiaTheme="minorEastAsia"/>
          <w:b w:val="0"/>
          <w:color w:val="auto"/>
          <w:kern w:val="0"/>
          <w:sz w:val="21"/>
        </w:rPr>
        <w:t>年度考核、逐年验收</w:t>
      </w:r>
      <w:r>
        <w:rPr>
          <w:rFonts w:hint="eastAsia" w:ascii="宋体" w:hAnsi="宋体" w:cs="宋体" w:eastAsiaTheme="minorEastAsia"/>
          <w:color w:val="auto"/>
          <w:kern w:val="0"/>
          <w:sz w:val="21"/>
        </w:rPr>
        <w:t>机制。中标服务商每年度服务期满后，需提交完整的年度维保工作总结报告、巡检记录、故障处置台账、培训记录、安全检测报告等全套佐证材料。由医院信息中心牵头，联合体检中心、相关业务科室开展年度服务考核与验收，考核不合格将按合同约定扣除相应服务款项或终止服务。</w:t>
      </w:r>
    </w:p>
    <w:p>
      <w:pPr>
        <w:widowControl/>
        <w:numPr>
          <w:ilvl w:val="0"/>
          <w:numId w:val="0"/>
        </w:numPr>
        <w:spacing w:line="360" w:lineRule="auto"/>
        <w:jc w:val="left"/>
        <w:outlineLvl w:val="9"/>
        <w:rPr>
          <w:rFonts w:hint="eastAsia" w:ascii="宋体" w:hAnsi="宋体" w:cs="宋体"/>
          <w:color w:val="auto"/>
          <w:kern w:val="0"/>
        </w:rPr>
      </w:pPr>
      <w:r>
        <w:rPr>
          <w:rFonts w:hint="eastAsia" w:ascii="宋体" w:hAnsi="宋体" w:cs="宋体"/>
          <w:color w:val="auto"/>
          <w:kern w:val="0"/>
        </w:rPr>
        <w:t>（2）安全维保：系统服务器、客户端、软件模块应用、等业务涉及环节维保，出现问题时能远程处理。</w:t>
      </w:r>
    </w:p>
    <w:p>
      <w:pPr>
        <w:spacing w:line="360" w:lineRule="auto"/>
        <w:rPr>
          <w:rFonts w:hint="eastAsia" w:ascii="宋体" w:hAnsi="宋体" w:cs="宋体"/>
          <w:b/>
        </w:rPr>
      </w:pPr>
      <w:r>
        <w:rPr>
          <w:rFonts w:hint="eastAsia" w:ascii="宋体" w:hAnsi="宋体" w:cs="宋体"/>
          <w:b/>
        </w:rPr>
        <w:t>4．响应时间：</w:t>
      </w:r>
    </w:p>
    <w:p>
      <w:pPr>
        <w:spacing w:line="360" w:lineRule="auto"/>
        <w:rPr>
          <w:rFonts w:hint="eastAsia" w:ascii="宋体" w:hAnsi="宋体" w:cs="宋体"/>
          <w:color w:val="000000"/>
          <w:szCs w:val="21"/>
        </w:rPr>
      </w:pPr>
      <w:r>
        <w:rPr>
          <w:rFonts w:hint="eastAsia" w:ascii="宋体" w:hAnsi="宋体" w:cs="宋体"/>
          <w:b w:val="0"/>
          <w:bCs/>
          <w:lang w:val="en-US" w:eastAsia="zh-CN"/>
        </w:rPr>
        <w:t>(1)</w:t>
      </w:r>
      <w:r>
        <w:rPr>
          <w:rFonts w:hint="eastAsia" w:ascii="宋体" w:hAnsi="宋体" w:cs="宋体"/>
          <w:color w:val="000000"/>
          <w:szCs w:val="21"/>
        </w:rPr>
        <w:t>服务响应时间为全年7×24小时随时响应，对于必须派人现场解决的问题，保证在收到现场服务通知后，4小时内到达现场，24小时内解决故障；一年内每三个月一次系统安全检测。若组织调整或业务流程变更，提供及时的变更服务。</w:t>
      </w:r>
    </w:p>
    <w:p>
      <w:pPr>
        <w:spacing w:line="360" w:lineRule="auto"/>
        <w:jc w:val="left"/>
        <w:rPr>
          <w:rFonts w:hint="eastAsia" w:ascii="宋体" w:hAnsi="宋体" w:cs="宋体"/>
          <w:color w:val="000000"/>
          <w:szCs w:val="21"/>
        </w:rPr>
      </w:pP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(2)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提供7×24小时技术咨询服务，解答系统用户（</w:t>
      </w:r>
      <w:r>
        <w:rPr>
          <w:rFonts w:hint="eastAsia" w:asciiTheme="minorEastAsia" w:hAnsiTheme="minorEastAsia" w:cstheme="minorEastAsia"/>
          <w:sz w:val="21"/>
          <w:szCs w:val="21"/>
          <w:lang w:eastAsia="zh-CN"/>
        </w:rPr>
        <w:t>体检中心、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信息中心、</w:t>
      </w:r>
      <w:r>
        <w:rPr>
          <w:rFonts w:hint="eastAsia" w:asciiTheme="minorEastAsia" w:hAnsiTheme="minorEastAsia" w:cstheme="minorEastAsia"/>
          <w:sz w:val="21"/>
          <w:szCs w:val="21"/>
          <w:lang w:eastAsia="zh-CN"/>
        </w:rPr>
        <w:t>财务科、医务科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等）在系统操作、数据处理、功能使用过程中遇到的问题，提供远程或现场技术指导。</w:t>
      </w:r>
    </w:p>
    <w:p>
      <w:pPr>
        <w:spacing w:line="360" w:lineRule="auto"/>
        <w:rPr>
          <w:rFonts w:ascii="仿宋" w:hAnsi="仿宋" w:eastAsia="仿宋" w:cs="宋体"/>
          <w:color w:val="FF0000"/>
        </w:rPr>
      </w:pPr>
      <w:r>
        <w:rPr>
          <w:rFonts w:hint="eastAsia" w:ascii="宋体" w:hAnsi="宋体" w:cs="宋体"/>
          <w:b/>
          <w:lang w:val="en-US" w:eastAsia="zh-CN"/>
        </w:rPr>
        <w:t>5</w:t>
      </w:r>
      <w:r>
        <w:rPr>
          <w:rFonts w:hint="eastAsia" w:ascii="宋体" w:hAnsi="宋体" w:cs="宋体"/>
          <w:b/>
        </w:rPr>
        <w:t>．售后服务要求：</w:t>
      </w:r>
    </w:p>
    <w:p>
      <w:pPr>
        <w:spacing w:line="360" w:lineRule="auto"/>
        <w:rPr>
          <w:rFonts w:ascii="宋体" w:hAnsi="宋体" w:cs="宋体"/>
          <w:color w:val="auto"/>
        </w:rPr>
      </w:pPr>
      <w:r>
        <w:rPr>
          <w:rFonts w:hint="eastAsia" w:ascii="宋体" w:hAnsi="宋体" w:cs="宋体"/>
          <w:color w:val="auto"/>
        </w:rPr>
        <w:t>（1）</w:t>
      </w:r>
      <w:r>
        <w:rPr>
          <w:rFonts w:hint="eastAsia" w:ascii="宋体" w:hAnsi="宋体" w:cs="宋体" w:eastAsiaTheme="minorEastAsia"/>
          <w:color w:val="auto"/>
          <w:sz w:val="21"/>
        </w:rPr>
        <w:t>维保合同总价包含服务期内所有人工、技术、运维、检测、培训、税费、耗材等全部费用，医院无需额外支付任何费用。</w:t>
      </w:r>
    </w:p>
    <w:p>
      <w:pPr>
        <w:spacing w:line="360" w:lineRule="auto"/>
        <w:rPr>
          <w:rFonts w:ascii="宋体" w:hAnsi="宋体" w:cs="宋体"/>
          <w:color w:val="auto"/>
        </w:rPr>
      </w:pPr>
      <w:r>
        <w:rPr>
          <w:rFonts w:hint="eastAsia" w:ascii="宋体" w:hAnsi="宋体" w:cs="宋体"/>
          <w:color w:val="auto"/>
        </w:rPr>
        <w:t>（2）要求投标人具有快速到达现场维护、应急抢修的能力，应对现场维护、应急抢修措施等情况</w:t>
      </w:r>
      <w:r>
        <w:rPr>
          <w:rFonts w:hint="eastAsia" w:ascii="宋体" w:hAnsi="宋体" w:cs="宋体"/>
          <w:color w:val="auto"/>
          <w:lang w:eastAsia="zh-CN"/>
        </w:rPr>
        <w:t>，提供应急现场技术支持服务</w:t>
      </w:r>
      <w:r>
        <w:rPr>
          <w:rFonts w:hint="eastAsia" w:ascii="宋体" w:hAnsi="宋体" w:cs="宋体"/>
          <w:color w:val="auto"/>
        </w:rPr>
        <w:t>。</w:t>
      </w:r>
    </w:p>
    <w:p>
      <w:pPr>
        <w:spacing w:line="360" w:lineRule="auto"/>
        <w:rPr>
          <w:rFonts w:asciiTheme="minorEastAsia" w:hAnsiTheme="minorEastAsia"/>
          <w:color w:val="auto"/>
        </w:rPr>
      </w:pPr>
      <w:r>
        <w:rPr>
          <w:rFonts w:hint="eastAsia" w:ascii="宋体" w:hAnsi="宋体" w:cs="宋体"/>
          <w:color w:val="auto"/>
        </w:rPr>
        <w:t>（3）要求</w:t>
      </w:r>
      <w:r>
        <w:rPr>
          <w:rFonts w:hint="eastAsia" w:ascii="宋体" w:hAnsi="宋体" w:cs="宋体"/>
          <w:color w:val="auto"/>
          <w:lang w:eastAsia="zh-CN"/>
        </w:rPr>
        <w:t>投标人维保期</w:t>
      </w:r>
      <w:r>
        <w:rPr>
          <w:rFonts w:hint="eastAsia" w:ascii="宋体" w:hAnsi="宋体" w:cs="宋体"/>
          <w:color w:val="auto"/>
        </w:rPr>
        <w:t>内提供远程技术支持服务。</w:t>
      </w:r>
    </w:p>
    <w:p>
      <w:pPr>
        <w:spacing w:line="360" w:lineRule="auto"/>
        <w:jc w:val="left"/>
        <w:rPr>
          <w:rFonts w:asciiTheme="minorEastAsia" w:hAnsiTheme="minorEastAsia"/>
          <w:color w:val="auto"/>
        </w:rPr>
      </w:pPr>
      <w:r>
        <w:rPr>
          <w:rFonts w:hint="eastAsia" w:asciiTheme="minorEastAsia" w:hAnsiTheme="minorEastAsia"/>
          <w:color w:val="auto"/>
        </w:rPr>
        <w:t>（4）</w:t>
      </w:r>
      <w:r>
        <w:rPr>
          <w:rFonts w:asciiTheme="minorEastAsia" w:hAnsiTheme="minorEastAsia"/>
          <w:color w:val="auto"/>
        </w:rPr>
        <w:t>对硬件设备和系统软件配合供应厂商提供服务</w:t>
      </w:r>
      <w:r>
        <w:rPr>
          <w:rFonts w:hint="eastAsia" w:asciiTheme="minorEastAsia" w:hAnsiTheme="minorEastAsia"/>
          <w:color w:val="auto"/>
        </w:rPr>
        <w:t>。</w:t>
      </w:r>
    </w:p>
    <w:p>
      <w:pPr>
        <w:spacing w:line="360" w:lineRule="auto"/>
        <w:jc w:val="left"/>
        <w:rPr>
          <w:rFonts w:hint="eastAsia" w:asciiTheme="minorEastAsia" w:hAnsiTheme="minorEastAsia"/>
          <w:color w:val="auto"/>
        </w:rPr>
      </w:pPr>
      <w:r>
        <w:rPr>
          <w:rFonts w:hint="eastAsia" w:asciiTheme="minorEastAsia" w:hAnsiTheme="minorEastAsia"/>
          <w:color w:val="auto"/>
        </w:rPr>
        <w:t>（5）</w:t>
      </w:r>
      <w:r>
        <w:rPr>
          <w:rFonts w:asciiTheme="minorEastAsia" w:hAnsiTheme="minorEastAsia"/>
          <w:color w:val="auto"/>
        </w:rPr>
        <w:t>对医院在使用系统过程中出现的技术问题提供技术指导</w:t>
      </w:r>
      <w:r>
        <w:rPr>
          <w:rFonts w:hint="eastAsia" w:asciiTheme="minorEastAsia" w:hAnsiTheme="minorEastAsia"/>
          <w:color w:val="auto"/>
        </w:rPr>
        <w:t>。</w:t>
      </w:r>
    </w:p>
    <w:p>
      <w:pPr>
        <w:spacing w:line="360" w:lineRule="auto"/>
        <w:jc w:val="left"/>
        <w:rPr>
          <w:rFonts w:asciiTheme="minorEastAsia" w:hAnsiTheme="minorEastAsia"/>
          <w:color w:val="auto"/>
        </w:rPr>
      </w:pPr>
      <w:r>
        <w:rPr>
          <w:rFonts w:hint="eastAsia" w:asciiTheme="minorEastAsia" w:hAnsiTheme="minorEastAsia"/>
          <w:color w:val="auto"/>
        </w:rPr>
        <w:t>（6）提供文档设备及</w:t>
      </w:r>
      <w:r>
        <w:rPr>
          <w:rFonts w:hint="eastAsia" w:asciiTheme="minorEastAsia" w:hAnsiTheme="minorEastAsia"/>
          <w:color w:val="auto"/>
          <w:lang w:eastAsia="zh-CN"/>
        </w:rPr>
        <w:t>记</w:t>
      </w:r>
      <w:r>
        <w:rPr>
          <w:rFonts w:hint="eastAsia" w:asciiTheme="minorEastAsia" w:hAnsiTheme="minorEastAsia"/>
          <w:color w:val="auto"/>
        </w:rPr>
        <w:t>录管理信息系统</w:t>
      </w:r>
      <w:r>
        <w:rPr>
          <w:rFonts w:asciiTheme="minorEastAsia" w:hAnsiTheme="minorEastAsia"/>
          <w:color w:val="auto"/>
        </w:rPr>
        <w:t>正确性维护</w:t>
      </w:r>
      <w:r>
        <w:rPr>
          <w:rFonts w:hint="eastAsia" w:asciiTheme="minorEastAsia" w:hAnsiTheme="minorEastAsia"/>
          <w:color w:val="auto"/>
        </w:rPr>
        <w:t>。</w:t>
      </w:r>
    </w:p>
    <w:p>
      <w:pPr>
        <w:spacing w:line="360" w:lineRule="auto"/>
        <w:jc w:val="left"/>
        <w:rPr>
          <w:rFonts w:asciiTheme="minorEastAsia" w:hAnsiTheme="minorEastAsia"/>
          <w:color w:val="auto"/>
          <w:szCs w:val="21"/>
        </w:rPr>
      </w:pPr>
      <w:r>
        <w:rPr>
          <w:rFonts w:hint="eastAsia" w:asciiTheme="minorEastAsia" w:hAnsiTheme="minorEastAsia"/>
          <w:color w:val="auto"/>
          <w:szCs w:val="21"/>
        </w:rPr>
        <w:t>（7）</w:t>
      </w:r>
      <w:r>
        <w:rPr>
          <w:rFonts w:hint="eastAsia" w:asciiTheme="minorEastAsia" w:hAnsiTheme="minorEastAsia"/>
          <w:color w:val="auto"/>
          <w:szCs w:val="21"/>
          <w:lang w:eastAsia="zh-CN"/>
        </w:rPr>
        <w:t>提供</w:t>
      </w:r>
      <w:r>
        <w:rPr>
          <w:rFonts w:hint="eastAsia" w:asciiTheme="minorEastAsia" w:hAnsiTheme="minorEastAsia"/>
          <w:color w:val="auto"/>
          <w:szCs w:val="21"/>
        </w:rPr>
        <w:t>文档设备及</w:t>
      </w:r>
      <w:r>
        <w:rPr>
          <w:rFonts w:hint="eastAsia" w:asciiTheme="minorEastAsia" w:hAnsiTheme="minorEastAsia"/>
          <w:color w:val="auto"/>
          <w:szCs w:val="21"/>
          <w:lang w:eastAsia="zh-CN"/>
        </w:rPr>
        <w:t>记</w:t>
      </w:r>
      <w:r>
        <w:rPr>
          <w:rFonts w:hint="eastAsia" w:asciiTheme="minorEastAsia" w:hAnsiTheme="minorEastAsia"/>
          <w:color w:val="auto"/>
          <w:szCs w:val="21"/>
        </w:rPr>
        <w:t>录管理信息系统定期的检查维护。</w:t>
      </w:r>
    </w:p>
    <w:p>
      <w:pPr>
        <w:spacing w:line="360" w:lineRule="auto"/>
        <w:jc w:val="left"/>
        <w:rPr>
          <w:rFonts w:hint="eastAsia" w:asciiTheme="minorEastAsia" w:hAnsiTheme="minorEastAsia"/>
          <w:color w:val="auto"/>
        </w:rPr>
      </w:pPr>
      <w:r>
        <w:rPr>
          <w:rFonts w:hint="eastAsia" w:asciiTheme="minorEastAsia" w:hAnsiTheme="minorEastAsia"/>
          <w:color w:val="auto"/>
        </w:rPr>
        <w:t>（8）</w:t>
      </w:r>
      <w:r>
        <w:rPr>
          <w:rFonts w:asciiTheme="minorEastAsia" w:hAnsiTheme="minorEastAsia"/>
          <w:color w:val="auto"/>
        </w:rPr>
        <w:t>非系统原因导致系统故障、数据错误等，如医院使用不当、病毒等原因引起的</w:t>
      </w:r>
      <w:r>
        <w:rPr>
          <w:rFonts w:hint="eastAsia" w:asciiTheme="minorEastAsia" w:hAnsiTheme="minorEastAsia"/>
          <w:color w:val="auto"/>
          <w:szCs w:val="21"/>
        </w:rPr>
        <w:t>文档设备及纪录管理信息系统</w:t>
      </w:r>
      <w:r>
        <w:rPr>
          <w:rFonts w:asciiTheme="minorEastAsia" w:hAnsiTheme="minorEastAsia"/>
          <w:color w:val="auto"/>
        </w:rPr>
        <w:t>、数据</w:t>
      </w:r>
      <w:r>
        <w:rPr>
          <w:rFonts w:hint="eastAsia" w:asciiTheme="minorEastAsia" w:hAnsiTheme="minorEastAsia"/>
          <w:color w:val="auto"/>
        </w:rPr>
        <w:t>库</w:t>
      </w:r>
      <w:r>
        <w:rPr>
          <w:rFonts w:asciiTheme="minorEastAsia" w:hAnsiTheme="minorEastAsia"/>
          <w:color w:val="auto"/>
        </w:rPr>
        <w:t>、系统软件、操作系统损坏等，需要提供</w:t>
      </w:r>
      <w:r>
        <w:rPr>
          <w:rFonts w:hint="eastAsia" w:asciiTheme="minorEastAsia" w:hAnsiTheme="minorEastAsia"/>
          <w:color w:val="auto"/>
        </w:rPr>
        <w:t>维护</w:t>
      </w:r>
      <w:r>
        <w:rPr>
          <w:rFonts w:hint="eastAsia" w:asciiTheme="minorEastAsia" w:hAnsiTheme="minorEastAsia"/>
          <w:color w:val="auto"/>
          <w:lang w:eastAsia="zh-CN"/>
        </w:rPr>
        <w:t>恢复</w:t>
      </w:r>
      <w:r>
        <w:rPr>
          <w:rFonts w:asciiTheme="minorEastAsia" w:hAnsiTheme="minorEastAsia"/>
          <w:color w:val="auto"/>
        </w:rPr>
        <w:t>服</w:t>
      </w:r>
      <w:r>
        <w:rPr>
          <w:rFonts w:hint="eastAsia" w:asciiTheme="minorEastAsia" w:hAnsiTheme="minorEastAsia"/>
          <w:color w:val="auto"/>
        </w:rPr>
        <w:t>务。</w:t>
      </w:r>
    </w:p>
    <w:p>
      <w:pPr>
        <w:spacing w:line="360" w:lineRule="auto"/>
        <w:jc w:val="left"/>
        <w:rPr>
          <w:rFonts w:hint="default" w:asciiTheme="minorEastAsia" w:hAnsiTheme="minorEastAsia" w:eastAsiaTheme="minorEastAsia"/>
          <w:color w:val="auto"/>
          <w:lang w:val="en-US" w:eastAsia="zh-CN"/>
        </w:rPr>
      </w:pPr>
      <w:r>
        <w:rPr>
          <w:rFonts w:hint="eastAsia" w:asciiTheme="minorEastAsia" w:hAnsiTheme="minorEastAsia" w:cstheme="minorEastAsia"/>
          <w:sz w:val="21"/>
          <w:szCs w:val="21"/>
          <w:lang w:eastAsia="zh-CN"/>
        </w:rPr>
        <w:t>（</w:t>
      </w:r>
      <w:r>
        <w:rPr>
          <w:rFonts w:hint="eastAsia" w:asciiTheme="minorEastAsia" w:hAnsiTheme="minorEastAsia" w:cstheme="minorEastAsia"/>
          <w:sz w:val="21"/>
          <w:szCs w:val="21"/>
          <w:lang w:val="en-US" w:eastAsia="zh-CN"/>
        </w:rPr>
        <w:t>9</w:t>
      </w:r>
      <w:r>
        <w:rPr>
          <w:rFonts w:hint="eastAsia" w:asciiTheme="minorEastAsia" w:hAnsiTheme="minorEastAsia" w:cstheme="minorEastAsia"/>
          <w:sz w:val="21"/>
          <w:szCs w:val="21"/>
          <w:lang w:eastAsia="zh-CN"/>
        </w:rPr>
        <w:t>）</w:t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t>根据系统更新、功能优化及用户需求，定期开展系统操作培训、功能使用培训，覆盖各相关科室用户，确保用户熟练掌握系统操作技巧，提升工作效率。</w:t>
      </w:r>
    </w:p>
    <w:p>
      <w:pPr>
        <w:spacing w:line="360" w:lineRule="auto"/>
        <w:jc w:val="left"/>
        <w:rPr>
          <w:rFonts w:asciiTheme="minorEastAsia" w:hAnsiTheme="minorEastAsia"/>
          <w:color w:val="auto"/>
        </w:rPr>
      </w:pPr>
      <w:r>
        <w:rPr>
          <w:rFonts w:hint="eastAsia" w:asciiTheme="minorEastAsia" w:hAnsiTheme="minorEastAsia"/>
          <w:color w:val="auto"/>
        </w:rPr>
        <w:t>（</w:t>
      </w:r>
      <w:r>
        <w:rPr>
          <w:rFonts w:hint="eastAsia" w:asciiTheme="minorEastAsia" w:hAnsiTheme="minorEastAsia"/>
          <w:color w:val="auto"/>
          <w:lang w:val="en-US" w:eastAsia="zh-CN"/>
        </w:rPr>
        <w:t>10</w:t>
      </w:r>
      <w:r>
        <w:rPr>
          <w:rFonts w:hint="eastAsia" w:asciiTheme="minorEastAsia" w:hAnsiTheme="minorEastAsia"/>
          <w:color w:val="auto"/>
        </w:rPr>
        <w:t>）根据医院业务发展的需要，向医院提供现有版本稳定运行。</w:t>
      </w:r>
    </w:p>
    <w:p>
      <w:pPr>
        <w:spacing w:line="360" w:lineRule="auto"/>
        <w:rPr>
          <w:rFonts w:ascii="宋体" w:hAnsi="宋体" w:cs="宋体"/>
          <w:b/>
        </w:rPr>
      </w:pPr>
      <w:r>
        <w:rPr>
          <w:rFonts w:hint="eastAsia" w:ascii="宋体" w:hAnsi="宋体" w:cs="宋体"/>
          <w:b/>
          <w:lang w:val="en-US" w:eastAsia="zh-CN"/>
        </w:rPr>
        <w:t>6</w:t>
      </w:r>
      <w:r>
        <w:rPr>
          <w:rFonts w:hint="eastAsia" w:ascii="宋体" w:hAnsi="宋体" w:cs="宋体"/>
          <w:b/>
        </w:rPr>
        <w:t>．培训要求：</w:t>
      </w:r>
    </w:p>
    <w:p>
      <w:pPr>
        <w:spacing w:line="360" w:lineRule="auto"/>
        <w:rPr>
          <w:rFonts w:ascii="宋体" w:hAnsi="宋体" w:cs="宋体"/>
        </w:rPr>
      </w:pPr>
      <w:r>
        <w:rPr>
          <w:rFonts w:hint="eastAsia" w:ascii="宋体" w:hAnsi="宋体" w:cs="宋体"/>
        </w:rPr>
        <w:t>（1）制定详细的培训方案，提供技术培训、操作培训和现场指导，完成对开发技术及工具等在内的全部免费培训。培训方案要详细描述培训的具体内容和时间安排。</w:t>
      </w:r>
    </w:p>
    <w:p>
      <w:pPr>
        <w:spacing w:line="360" w:lineRule="auto"/>
        <w:rPr>
          <w:rFonts w:ascii="宋体" w:hAnsi="宋体" w:cs="宋体"/>
        </w:rPr>
      </w:pPr>
      <w:r>
        <w:rPr>
          <w:rFonts w:hint="eastAsia" w:ascii="黑体" w:hAnsi="黑体" w:eastAsia="黑体" w:cs="宋体"/>
        </w:rPr>
        <w:t>（2）</w:t>
      </w:r>
      <w:r>
        <w:rPr>
          <w:rFonts w:hint="eastAsia" w:ascii="宋体" w:hAnsi="宋体" w:cs="宋体"/>
        </w:rPr>
        <w:t>培训方式应包括技术讲课、操作示范、参观学习和其它必须的业务指导和技术咨询，确保培训人员对系统基本原理、技术特性、操作规范、运行规程、管理维护等方面获得全面了解和掌握。</w:t>
      </w:r>
    </w:p>
    <w:p>
      <w:pPr>
        <w:spacing w:line="360" w:lineRule="auto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（3）技术培训应包含包括 1）</w:t>
      </w:r>
      <w:r>
        <w:rPr>
          <w:rFonts w:asciiTheme="minorEastAsia" w:hAnsiTheme="minorEastAsia"/>
          <w:szCs w:val="21"/>
        </w:rPr>
        <w:t>系统的日常操作管理与维护，并对一般性故障进行诊断、排除与恢复；</w:t>
      </w:r>
      <w:r>
        <w:rPr>
          <w:rFonts w:hint="eastAsia" w:asciiTheme="minorEastAsia" w:hAnsiTheme="minorEastAsia"/>
          <w:szCs w:val="21"/>
        </w:rPr>
        <w:t>2）</w:t>
      </w:r>
      <w:r>
        <w:rPr>
          <w:rFonts w:asciiTheme="minorEastAsia" w:hAnsiTheme="minorEastAsia"/>
          <w:szCs w:val="21"/>
        </w:rPr>
        <w:t>能建立相应软件的管理策略；</w:t>
      </w:r>
      <w:r>
        <w:rPr>
          <w:rFonts w:hint="eastAsia" w:asciiTheme="minorEastAsia" w:hAnsiTheme="minorEastAsia"/>
          <w:szCs w:val="21"/>
        </w:rPr>
        <w:t>3）提供对应的基础字典数据库文档并指导信息科人员操作数据库。</w:t>
      </w:r>
    </w:p>
    <w:p>
      <w:pPr>
        <w:spacing w:line="360" w:lineRule="auto"/>
        <w:rPr>
          <w:rFonts w:ascii="宋体" w:hAnsi="宋体" w:cs="宋体"/>
          <w:b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7</w:t>
      </w:r>
      <w:r>
        <w:rPr>
          <w:rFonts w:hint="eastAsia" w:ascii="宋体" w:hAnsi="宋体" w:cs="宋体"/>
          <w:b/>
          <w:color w:val="000000" w:themeColor="text1"/>
          <w14:textFill>
            <w14:solidFill>
              <w14:schemeClr w14:val="tx1"/>
            </w14:solidFill>
          </w14:textFill>
        </w:rPr>
        <w:t>．付款方式：</w:t>
      </w:r>
    </w:p>
    <w:p>
      <w:pPr>
        <w:spacing w:line="500" w:lineRule="exact"/>
        <w:rPr>
          <w:rFonts w:ascii="宋体" w:hAnsi="宋体" w:cs="宋体"/>
          <w:color w:val="auto"/>
        </w:rPr>
      </w:pPr>
      <w:r>
        <w:rPr>
          <w:rFonts w:hint="eastAsia" w:ascii="宋体" w:hAnsi="宋体" w:cs="宋体"/>
          <w:color w:val="auto"/>
        </w:rPr>
        <w:t>（1）合同签订后，</w:t>
      </w:r>
      <w:bookmarkStart w:id="14" w:name="_GoBack"/>
      <w:bookmarkEnd w:id="14"/>
      <w:r>
        <w:rPr>
          <w:rFonts w:hint="eastAsia" w:ascii="宋体" w:hAnsi="宋体" w:cs="宋体"/>
          <w:color w:val="auto"/>
        </w:rPr>
        <w:t>凭中标人提供的正式发票，采购人向中标人支付相应合同额的</w:t>
      </w:r>
      <w:r>
        <w:rPr>
          <w:rFonts w:hint="eastAsia" w:ascii="宋体" w:hAnsi="宋体" w:cs="宋体"/>
          <w:color w:val="auto"/>
          <w:lang w:val="en-US" w:eastAsia="zh-CN"/>
        </w:rPr>
        <w:t>1</w:t>
      </w:r>
      <w:r>
        <w:rPr>
          <w:rFonts w:hint="eastAsia" w:ascii="宋体" w:hAnsi="宋体" w:cs="宋体"/>
          <w:color w:val="auto"/>
        </w:rPr>
        <w:t>0%；</w:t>
      </w:r>
    </w:p>
    <w:p>
      <w:pPr>
        <w:spacing w:line="500" w:lineRule="exact"/>
        <w:rPr>
          <w:rFonts w:hint="eastAsia" w:ascii="宋体" w:hAnsi="宋体" w:cs="宋体"/>
          <w:color w:val="auto"/>
        </w:rPr>
      </w:pPr>
      <w:r>
        <w:rPr>
          <w:rFonts w:hint="eastAsia" w:ascii="宋体" w:hAnsi="宋体" w:cs="宋体"/>
          <w:color w:val="auto"/>
        </w:rPr>
        <w:t>（2）维保服务满一年，凭相应的任务进度报告经采购人签字确认后，凭中标人提供的正式发票，采购人向中标人支付相应合同额的</w:t>
      </w:r>
      <w:r>
        <w:rPr>
          <w:rFonts w:hint="eastAsia" w:ascii="宋体" w:hAnsi="宋体" w:cs="宋体"/>
          <w:color w:val="auto"/>
          <w:lang w:val="en-US" w:eastAsia="zh-CN"/>
        </w:rPr>
        <w:t>3</w:t>
      </w:r>
      <w:r>
        <w:rPr>
          <w:rFonts w:hint="eastAsia" w:ascii="宋体" w:hAnsi="宋体" w:cs="宋体"/>
          <w:color w:val="auto"/>
        </w:rPr>
        <w:t>0%。</w:t>
      </w:r>
    </w:p>
    <w:p>
      <w:pPr>
        <w:spacing w:line="500" w:lineRule="exact"/>
        <w:rPr>
          <w:rFonts w:hint="eastAsia" w:ascii="宋体" w:hAnsi="宋体" w:cs="宋体"/>
          <w:color w:val="auto"/>
        </w:rPr>
      </w:pPr>
      <w:r>
        <w:rPr>
          <w:rFonts w:hint="eastAsia" w:ascii="宋体" w:hAnsi="宋体" w:cs="宋体"/>
          <w:color w:val="auto"/>
          <w:lang w:eastAsia="zh-CN"/>
        </w:rPr>
        <w:t>（</w:t>
      </w:r>
      <w:r>
        <w:rPr>
          <w:rFonts w:hint="eastAsia" w:ascii="宋体" w:hAnsi="宋体" w:cs="宋体"/>
          <w:color w:val="auto"/>
          <w:lang w:val="en-US" w:eastAsia="zh-CN"/>
        </w:rPr>
        <w:t>3</w:t>
      </w:r>
      <w:r>
        <w:rPr>
          <w:rFonts w:hint="eastAsia" w:ascii="宋体" w:hAnsi="宋体" w:cs="宋体"/>
          <w:color w:val="auto"/>
          <w:lang w:eastAsia="zh-CN"/>
        </w:rPr>
        <w:t>）</w:t>
      </w:r>
      <w:r>
        <w:rPr>
          <w:rFonts w:hint="eastAsia" w:ascii="宋体" w:hAnsi="宋体" w:cs="宋体"/>
          <w:color w:val="auto"/>
        </w:rPr>
        <w:t>维保服务满</w:t>
      </w:r>
      <w:r>
        <w:rPr>
          <w:rFonts w:hint="eastAsia" w:ascii="宋体" w:hAnsi="宋体" w:cs="宋体"/>
          <w:color w:val="auto"/>
          <w:lang w:eastAsia="zh-CN"/>
        </w:rPr>
        <w:t>二</w:t>
      </w:r>
      <w:r>
        <w:rPr>
          <w:rFonts w:hint="eastAsia" w:ascii="宋体" w:hAnsi="宋体" w:cs="宋体"/>
          <w:color w:val="auto"/>
        </w:rPr>
        <w:t>年，凭相应的任务进度报告经采购人签字确认后，凭中标人提供的正式发票，采购人向中标人支付相应合同额的</w:t>
      </w:r>
      <w:r>
        <w:rPr>
          <w:rFonts w:hint="eastAsia" w:ascii="宋体" w:hAnsi="宋体" w:cs="宋体"/>
          <w:color w:val="auto"/>
          <w:lang w:val="en-US" w:eastAsia="zh-CN"/>
        </w:rPr>
        <w:t>3</w:t>
      </w:r>
      <w:r>
        <w:rPr>
          <w:rFonts w:hint="eastAsia" w:ascii="宋体" w:hAnsi="宋体" w:cs="宋体"/>
          <w:color w:val="auto"/>
        </w:rPr>
        <w:t>0%。</w:t>
      </w:r>
    </w:p>
    <w:p>
      <w:pPr>
        <w:spacing w:line="500" w:lineRule="exact"/>
        <w:rPr>
          <w:color w:val="auto"/>
          <w:szCs w:val="21"/>
        </w:rPr>
      </w:pPr>
      <w:r>
        <w:rPr>
          <w:rFonts w:hint="eastAsia" w:ascii="宋体" w:hAnsi="宋体" w:cs="宋体"/>
          <w:color w:val="auto"/>
          <w:lang w:eastAsia="zh-CN"/>
        </w:rPr>
        <w:t>（</w:t>
      </w:r>
      <w:r>
        <w:rPr>
          <w:rFonts w:hint="eastAsia" w:ascii="宋体" w:hAnsi="宋体" w:cs="宋体"/>
          <w:color w:val="auto"/>
          <w:lang w:val="en-US" w:eastAsia="zh-CN"/>
        </w:rPr>
        <w:t>4</w:t>
      </w:r>
      <w:r>
        <w:rPr>
          <w:rFonts w:hint="eastAsia" w:ascii="宋体" w:hAnsi="宋体" w:cs="宋体"/>
          <w:color w:val="auto"/>
          <w:lang w:eastAsia="zh-CN"/>
        </w:rPr>
        <w:t>）</w:t>
      </w:r>
      <w:r>
        <w:rPr>
          <w:rFonts w:hint="eastAsia" w:ascii="宋体" w:hAnsi="宋体" w:cs="宋体"/>
          <w:color w:val="auto"/>
        </w:rPr>
        <w:t>维保服务满</w:t>
      </w:r>
      <w:r>
        <w:rPr>
          <w:rFonts w:hint="eastAsia" w:ascii="宋体" w:hAnsi="宋体" w:cs="宋体"/>
          <w:color w:val="auto"/>
          <w:lang w:eastAsia="zh-CN"/>
        </w:rPr>
        <w:t>三</w:t>
      </w:r>
      <w:r>
        <w:rPr>
          <w:rFonts w:hint="eastAsia" w:ascii="宋体" w:hAnsi="宋体" w:cs="宋体"/>
          <w:color w:val="auto"/>
        </w:rPr>
        <w:t>年，凭相应的任务进度报告经采购人签字确认后，凭中标人提供的正式发票，采购人向中标人支付相应合同额的</w:t>
      </w:r>
      <w:r>
        <w:rPr>
          <w:rFonts w:hint="eastAsia" w:ascii="宋体" w:hAnsi="宋体" w:cs="宋体"/>
          <w:color w:val="auto"/>
          <w:lang w:val="en-US" w:eastAsia="zh-CN"/>
        </w:rPr>
        <w:t>3</w:t>
      </w:r>
      <w:r>
        <w:rPr>
          <w:rFonts w:hint="eastAsia" w:ascii="宋体" w:hAnsi="宋体" w:cs="宋体"/>
          <w:color w:val="auto"/>
        </w:rPr>
        <w:t>0%。</w:t>
      </w:r>
    </w:p>
    <w:p>
      <w:pPr>
        <w:spacing w:line="500" w:lineRule="exact"/>
        <w:rPr>
          <w:rFonts w:hint="eastAsia" w:ascii="宋体" w:hAnsi="宋体" w:cs="宋体" w:eastAsiaTheme="minorEastAsia"/>
          <w:color w:val="000000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DF1297"/>
    <w:multiLevelType w:val="multilevel"/>
    <w:tmpl w:val="34DF1297"/>
    <w:lvl w:ilvl="0" w:tentative="0">
      <w:start w:val="1"/>
      <w:numFmt w:val="decimal"/>
      <w:pStyle w:val="6"/>
      <w:lvlText w:val="（%1）"/>
      <w:lvlJc w:val="left"/>
      <w:pPr>
        <w:ind w:left="90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1320" w:hanging="4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ind w:left="1740" w:hanging="42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ind w:left="2160" w:hanging="420"/>
      </w:pPr>
      <w:rPr>
        <w:rFonts w:hint="eastAsia"/>
      </w:rPr>
    </w:lvl>
    <w:lvl w:ilvl="4" w:tentative="0">
      <w:start w:val="1"/>
      <w:numFmt w:val="lowerLetter"/>
      <w:suff w:val="space"/>
      <w:lvlText w:val="%5)"/>
      <w:lvlJc w:val="left"/>
      <w:pPr>
        <w:ind w:left="2580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3000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3420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840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4260" w:hanging="420"/>
      </w:pPr>
      <w:rPr>
        <w:rFonts w:hint="eastAsia"/>
      </w:rPr>
    </w:lvl>
  </w:abstractNum>
  <w:abstractNum w:abstractNumId="1">
    <w:nsid w:val="37A56474"/>
    <w:multiLevelType w:val="multilevel"/>
    <w:tmpl w:val="37A56474"/>
    <w:lvl w:ilvl="0" w:tentative="0">
      <w:start w:val="4"/>
      <w:numFmt w:val="japaneseCounting"/>
      <w:lvlText w:val="%1、"/>
      <w:lvlJc w:val="left"/>
      <w:pPr>
        <w:ind w:left="450" w:hanging="45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4B617F8A"/>
    <w:multiLevelType w:val="multilevel"/>
    <w:tmpl w:val="4B617F8A"/>
    <w:lvl w:ilvl="0" w:tentative="0">
      <w:start w:val="1"/>
      <w:numFmt w:val="decimal"/>
      <w:pStyle w:val="31"/>
      <w:lvlText w:val="%1."/>
      <w:lvlJc w:val="left"/>
      <w:pPr>
        <w:tabs>
          <w:tab w:val="left" w:pos="709"/>
        </w:tabs>
        <w:ind w:left="709" w:hanging="709"/>
      </w:pPr>
      <w:rPr>
        <w:rFonts w:hint="eastAsia"/>
      </w:rPr>
    </w:lvl>
    <w:lvl w:ilvl="1" w:tentative="0">
      <w:start w:val="1"/>
      <w:numFmt w:val="decimal"/>
      <w:lvlText w:val="%1.%2"/>
      <w:lvlJc w:val="left"/>
      <w:pPr>
        <w:tabs>
          <w:tab w:val="left" w:pos="709"/>
        </w:tabs>
        <w:ind w:left="709" w:hanging="709"/>
      </w:pPr>
      <w:rPr>
        <w:rFonts w:hint="eastAsia"/>
      </w:rPr>
    </w:lvl>
    <w:lvl w:ilvl="2" w:tentative="0">
      <w:start w:val="1"/>
      <w:numFmt w:val="decimal"/>
      <w:lvlText w:val="%1.%2.%3."/>
      <w:lvlJc w:val="left"/>
      <w:pPr>
        <w:tabs>
          <w:tab w:val="left" w:pos="425"/>
        </w:tabs>
        <w:ind w:left="425" w:hanging="425"/>
      </w:pPr>
      <w:rPr>
        <w:rFonts w:hint="eastAsia"/>
      </w:rPr>
    </w:lvl>
    <w:lvl w:ilvl="3" w:tentative="0">
      <w:start w:val="1"/>
      <w:numFmt w:val="decimal"/>
      <w:lvlText w:val="%1.%2.%3.%4."/>
      <w:lvlJc w:val="left"/>
      <w:pPr>
        <w:tabs>
          <w:tab w:val="left" w:pos="851"/>
        </w:tabs>
        <w:ind w:left="851" w:hanging="851"/>
      </w:pPr>
      <w:rPr>
        <w:rFonts w:hint="eastAsia"/>
      </w:rPr>
    </w:lvl>
    <w:lvl w:ilvl="4" w:tentative="0">
      <w:start w:val="1"/>
      <w:numFmt w:val="decimal"/>
      <w:lvlText w:val="%1.%2.%3.%4.%5."/>
      <w:lvlJc w:val="left"/>
      <w:pPr>
        <w:tabs>
          <w:tab w:val="left" w:pos="992"/>
        </w:tabs>
        <w:ind w:left="992" w:hanging="992"/>
      </w:pPr>
      <w:rPr>
        <w:rFonts w:hint="eastAsia"/>
      </w:rPr>
    </w:lvl>
    <w:lvl w:ilvl="5" w:tentative="0">
      <w:start w:val="1"/>
      <w:numFmt w:val="decimal"/>
      <w:lvlText w:val="%1.%2.%3.%4.%5.%6."/>
      <w:lvlJc w:val="left"/>
      <w:pPr>
        <w:tabs>
          <w:tab w:val="left" w:pos="1134"/>
        </w:tabs>
        <w:ind w:left="1134" w:hanging="1134"/>
      </w:pPr>
      <w:rPr>
        <w:rFonts w:hint="eastAsia"/>
      </w:rPr>
    </w:lvl>
    <w:lvl w:ilvl="6" w:tentative="0">
      <w:start w:val="1"/>
      <w:numFmt w:val="decimal"/>
      <w:lvlText w:val="%1.%2.%3.%4.%5.%6.%7."/>
      <w:lvlJc w:val="left"/>
      <w:pPr>
        <w:tabs>
          <w:tab w:val="left" w:pos="1276"/>
        </w:tabs>
        <w:ind w:left="1276" w:hanging="1276"/>
      </w:pPr>
      <w:rPr>
        <w:rFonts w:hint="eastAsia"/>
      </w:rPr>
    </w:lvl>
    <w:lvl w:ilvl="7" w:tentative="0">
      <w:start w:val="1"/>
      <w:numFmt w:val="decimal"/>
      <w:lvlText w:val="%1.%2.%3.%4.%5.%6.%7.%8."/>
      <w:lvlJc w:val="left"/>
      <w:pPr>
        <w:tabs>
          <w:tab w:val="left" w:pos="1418"/>
        </w:tabs>
        <w:ind w:left="1418" w:hanging="1418"/>
      </w:pPr>
      <w:rPr>
        <w:rFonts w:hint="eastAsia"/>
      </w:rPr>
    </w:lvl>
    <w:lvl w:ilvl="8" w:tentative="0">
      <w:start w:val="1"/>
      <w:numFmt w:val="decimal"/>
      <w:lvlText w:val="%1.%2.%3.%4.%5.%6.%7.%8.%9."/>
      <w:lvlJc w:val="left"/>
      <w:pPr>
        <w:tabs>
          <w:tab w:val="left" w:pos="1559"/>
        </w:tabs>
        <w:ind w:left="1559" w:hanging="1559"/>
      </w:pPr>
      <w:rPr>
        <w:rFonts w:hint="eastAsia"/>
      </w:rPr>
    </w:lvl>
  </w:abstractNum>
  <w:abstractNum w:abstractNumId="3">
    <w:nsid w:val="5A4248CD"/>
    <w:multiLevelType w:val="multilevel"/>
    <w:tmpl w:val="5A4248CD"/>
    <w:lvl w:ilvl="0" w:tentative="0">
      <w:start w:val="1"/>
      <w:numFmt w:val="chineseCountingThousand"/>
      <w:pStyle w:val="2"/>
      <w:lvlText w:val="第%1章 "/>
      <w:lvlJc w:val="left"/>
      <w:pPr>
        <w:tabs>
          <w:tab w:val="left" w:pos="567"/>
        </w:tabs>
        <w:ind w:left="0" w:firstLine="0"/>
      </w:pPr>
      <w:rPr>
        <w:rFonts w:hint="default" w:ascii="Times New Roman" w:hAnsi="Times New Roman" w:eastAsia="宋体" w:cs="Times New Roman"/>
      </w:rPr>
    </w:lvl>
    <w:lvl w:ilvl="1" w:tentative="0">
      <w:start w:val="1"/>
      <w:numFmt w:val="decimal"/>
      <w:lvlRestart w:val="0"/>
      <w:pStyle w:val="3"/>
      <w:isLgl/>
      <w:suff w:val="space"/>
      <w:lvlText w:val="%1.%2"/>
      <w:lvlJc w:val="left"/>
      <w:pPr>
        <w:ind w:left="0" w:firstLine="0"/>
      </w:pPr>
      <w:rPr>
        <w:rFonts w:hint="default" w:ascii="Times New Roman" w:hAnsi="Times New Roman" w:eastAsia="宋体"/>
        <w:sz w:val="32"/>
        <w:szCs w:val="32"/>
      </w:rPr>
    </w:lvl>
    <w:lvl w:ilvl="2" w:tentative="0">
      <w:start w:val="1"/>
      <w:numFmt w:val="decimal"/>
      <w:pStyle w:val="4"/>
      <w:isLgl/>
      <w:suff w:val="space"/>
      <w:lvlText w:val="%1.%2.%3"/>
      <w:lvlJc w:val="left"/>
      <w:pPr>
        <w:ind w:left="0" w:firstLine="0"/>
      </w:pPr>
      <w:rPr>
        <w:rFonts w:hint="default" w:ascii="Times New Roman" w:hAnsi="Times New Roman" w:eastAsia="宋体" w:cs="宋体"/>
        <w:sz w:val="30"/>
        <w:szCs w:val="30"/>
      </w:rPr>
    </w:lvl>
    <w:lvl w:ilvl="3" w:tentative="0">
      <w:start w:val="1"/>
      <w:numFmt w:val="decimal"/>
      <w:pStyle w:val="5"/>
      <w:isLgl/>
      <w:suff w:val="space"/>
      <w:lvlText w:val="%1.%2.%3.%4"/>
      <w:lvlJc w:val="left"/>
      <w:pPr>
        <w:ind w:left="17" w:hanging="17"/>
      </w:pPr>
      <w:rPr>
        <w:rFonts w:hint="default" w:ascii="宋体" w:hAnsi="宋体" w:eastAsia="宋体" w:cs="宋体"/>
        <w:sz w:val="24"/>
      </w:rPr>
    </w:lvl>
    <w:lvl w:ilvl="4" w:tentative="0">
      <w:start w:val="1"/>
      <w:numFmt w:val="decimal"/>
      <w:lvlText w:val="%5)"/>
      <w:lvlJc w:val="left"/>
      <w:pPr>
        <w:tabs>
          <w:tab w:val="left" w:pos="1008"/>
        </w:tabs>
        <w:ind w:left="1008" w:hanging="432"/>
      </w:pPr>
      <w:rPr>
        <w:rFonts w:hint="eastAsia"/>
      </w:rPr>
    </w:lvl>
    <w:lvl w:ilvl="5" w:tentative="0">
      <w:start w:val="1"/>
      <w:numFmt w:val="lowerLetter"/>
      <w:pStyle w:val="7"/>
      <w:lvlText w:val="%6)"/>
      <w:lvlJc w:val="left"/>
      <w:pPr>
        <w:tabs>
          <w:tab w:val="left" w:pos="1152"/>
        </w:tabs>
        <w:ind w:left="1152" w:hanging="432"/>
      </w:pPr>
      <w:rPr>
        <w:rFonts w:hint="eastAsia"/>
      </w:rPr>
    </w:lvl>
    <w:lvl w:ilvl="6" w:tentative="0">
      <w:start w:val="1"/>
      <w:numFmt w:val="lowerRoman"/>
      <w:pStyle w:val="8"/>
      <w:lvlText w:val="%7)"/>
      <w:lvlJc w:val="right"/>
      <w:pPr>
        <w:tabs>
          <w:tab w:val="left" w:pos="1296"/>
        </w:tabs>
        <w:ind w:left="1296" w:hanging="288"/>
      </w:pPr>
      <w:rPr>
        <w:rFonts w:hint="eastAsia"/>
      </w:rPr>
    </w:lvl>
    <w:lvl w:ilvl="7" w:tentative="0">
      <w:start w:val="1"/>
      <w:numFmt w:val="lowerLetter"/>
      <w:pStyle w:val="9"/>
      <w:lvlText w:val="%8."/>
      <w:lvlJc w:val="left"/>
      <w:pPr>
        <w:tabs>
          <w:tab w:val="left" w:pos="1440"/>
        </w:tabs>
        <w:ind w:left="1440" w:hanging="432"/>
      </w:pPr>
      <w:rPr>
        <w:rFonts w:hint="eastAsia"/>
      </w:rPr>
    </w:lvl>
    <w:lvl w:ilvl="8" w:tentative="0">
      <w:start w:val="1"/>
      <w:numFmt w:val="lowerRoman"/>
      <w:pStyle w:val="10"/>
      <w:lvlText w:val="%9."/>
      <w:lvlJc w:val="right"/>
      <w:pPr>
        <w:tabs>
          <w:tab w:val="left" w:pos="1584"/>
        </w:tabs>
        <w:ind w:left="1584" w:hanging="144"/>
      </w:pPr>
      <w:rPr>
        <w:rFonts w:hint="eastAsia"/>
      </w:rPr>
    </w:lvl>
  </w:abstractNum>
  <w:abstractNum w:abstractNumId="4">
    <w:nsid w:val="6FC22AB3"/>
    <w:multiLevelType w:val="multilevel"/>
    <w:tmpl w:val="6FC22AB3"/>
    <w:lvl w:ilvl="0" w:tentative="0">
      <w:start w:val="1"/>
      <w:numFmt w:val="decimal"/>
      <w:lvlText w:val="(%1)."/>
      <w:lvlJc w:val="left"/>
      <w:pPr>
        <w:tabs>
          <w:tab w:val="left" w:pos="425"/>
        </w:tabs>
        <w:ind w:left="425" w:hanging="425"/>
      </w:pPr>
      <w:rPr>
        <w:rFonts w:hint="default"/>
      </w:rPr>
    </w:lvl>
    <w:lvl w:ilvl="1" w:tentative="0">
      <w:start w:val="1"/>
      <w:numFmt w:val="decimal"/>
      <w:pStyle w:val="30"/>
      <w:suff w:val="space"/>
      <w:lvlText w:val="(%2)"/>
      <w:lvlJc w:val="left"/>
      <w:pPr>
        <w:tabs>
          <w:tab w:val="left" w:pos="420"/>
        </w:tabs>
        <w:ind w:left="0" w:firstLine="420"/>
      </w:pPr>
      <w:rPr>
        <w:rFonts w:hint="default" w:ascii="Times New Roman" w:hAnsi="Times New Roman" w:eastAsia="宋体" w:cs="Times New Roman"/>
      </w:rPr>
    </w:lvl>
    <w:lvl w:ilvl="2" w:tentative="0">
      <w:start w:val="1"/>
      <w:numFmt w:val="lowerRoman"/>
      <w:lvlText w:val="%3.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  <w:rPr>
        <w:rFonts w:hint="default"/>
      </w:r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  <w:rPr>
        <w:rFonts w:hint="default"/>
      </w:rPr>
    </w:lvl>
    <w:lvl w:ilvl="5" w:tentative="0">
      <w:start w:val="1"/>
      <w:numFmt w:val="lowerRoman"/>
      <w:lvlText w:val="%6."/>
      <w:lvlJc w:val="left"/>
      <w:pPr>
        <w:tabs>
          <w:tab w:val="left" w:pos="2520"/>
        </w:tabs>
        <w:ind w:left="2520" w:hanging="420"/>
      </w:pPr>
      <w:rPr>
        <w:rFonts w:hint="default"/>
      </w:r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  <w:rPr>
        <w:rFonts w:hint="default"/>
      </w:r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  <w:rPr>
        <w:rFonts w:hint="default"/>
      </w:rPr>
    </w:lvl>
    <w:lvl w:ilvl="8" w:tentative="0">
      <w:start w:val="1"/>
      <w:numFmt w:val="lowerRoman"/>
      <w:lvlText w:val="%9."/>
      <w:lvlJc w:val="left"/>
      <w:pPr>
        <w:tabs>
          <w:tab w:val="left" w:pos="3780"/>
        </w:tabs>
        <w:ind w:left="3780" w:hanging="420"/>
      </w:pPr>
      <w:rPr>
        <w:rFonts w:hint="default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ECC"/>
    <w:rsid w:val="00011CE5"/>
    <w:rsid w:val="00027B79"/>
    <w:rsid w:val="0004707F"/>
    <w:rsid w:val="0006437C"/>
    <w:rsid w:val="00064FE9"/>
    <w:rsid w:val="00087546"/>
    <w:rsid w:val="00092866"/>
    <w:rsid w:val="00095A3C"/>
    <w:rsid w:val="000A63C1"/>
    <w:rsid w:val="000B6617"/>
    <w:rsid w:val="000C20FD"/>
    <w:rsid w:val="000C30F1"/>
    <w:rsid w:val="000C50CB"/>
    <w:rsid w:val="000D273C"/>
    <w:rsid w:val="000D6551"/>
    <w:rsid w:val="000D6E94"/>
    <w:rsid w:val="000E0C7A"/>
    <w:rsid w:val="000E32ED"/>
    <w:rsid w:val="000E48C0"/>
    <w:rsid w:val="000E6A26"/>
    <w:rsid w:val="00104491"/>
    <w:rsid w:val="00106CE5"/>
    <w:rsid w:val="001102D3"/>
    <w:rsid w:val="00112E85"/>
    <w:rsid w:val="00113891"/>
    <w:rsid w:val="001152D3"/>
    <w:rsid w:val="00132A6F"/>
    <w:rsid w:val="001360D8"/>
    <w:rsid w:val="0014436B"/>
    <w:rsid w:val="0016023A"/>
    <w:rsid w:val="001877E1"/>
    <w:rsid w:val="001A50CD"/>
    <w:rsid w:val="001B4019"/>
    <w:rsid w:val="001C3ECC"/>
    <w:rsid w:val="001D02BE"/>
    <w:rsid w:val="001D6234"/>
    <w:rsid w:val="001E1DF0"/>
    <w:rsid w:val="00200E8C"/>
    <w:rsid w:val="00204858"/>
    <w:rsid w:val="00210D74"/>
    <w:rsid w:val="00222B5A"/>
    <w:rsid w:val="0023088A"/>
    <w:rsid w:val="00257E19"/>
    <w:rsid w:val="002702C9"/>
    <w:rsid w:val="002967BE"/>
    <w:rsid w:val="002A7B9C"/>
    <w:rsid w:val="002C3DFB"/>
    <w:rsid w:val="002C7D51"/>
    <w:rsid w:val="002D2578"/>
    <w:rsid w:val="002E5882"/>
    <w:rsid w:val="002E69EE"/>
    <w:rsid w:val="002E73EE"/>
    <w:rsid w:val="002E745D"/>
    <w:rsid w:val="002F25EB"/>
    <w:rsid w:val="00306B87"/>
    <w:rsid w:val="0030783C"/>
    <w:rsid w:val="00321B2F"/>
    <w:rsid w:val="003224FE"/>
    <w:rsid w:val="003254D8"/>
    <w:rsid w:val="00330CAD"/>
    <w:rsid w:val="00355076"/>
    <w:rsid w:val="00363D50"/>
    <w:rsid w:val="0036453C"/>
    <w:rsid w:val="003655C3"/>
    <w:rsid w:val="0038677A"/>
    <w:rsid w:val="00386DE5"/>
    <w:rsid w:val="003A29E7"/>
    <w:rsid w:val="003B1390"/>
    <w:rsid w:val="003B58C8"/>
    <w:rsid w:val="003C5FA9"/>
    <w:rsid w:val="003D728B"/>
    <w:rsid w:val="003F77C7"/>
    <w:rsid w:val="00402347"/>
    <w:rsid w:val="00413133"/>
    <w:rsid w:val="00425BE7"/>
    <w:rsid w:val="004459C8"/>
    <w:rsid w:val="00460030"/>
    <w:rsid w:val="00462736"/>
    <w:rsid w:val="00466D7D"/>
    <w:rsid w:val="0049219D"/>
    <w:rsid w:val="00492D0D"/>
    <w:rsid w:val="00496753"/>
    <w:rsid w:val="004A1FB5"/>
    <w:rsid w:val="004A357D"/>
    <w:rsid w:val="004A3738"/>
    <w:rsid w:val="004A71E4"/>
    <w:rsid w:val="004B0AC1"/>
    <w:rsid w:val="004D2091"/>
    <w:rsid w:val="004D327E"/>
    <w:rsid w:val="004E20B3"/>
    <w:rsid w:val="00500C99"/>
    <w:rsid w:val="005167D0"/>
    <w:rsid w:val="00532B3D"/>
    <w:rsid w:val="005341D7"/>
    <w:rsid w:val="00537C9B"/>
    <w:rsid w:val="005407D0"/>
    <w:rsid w:val="00540DD1"/>
    <w:rsid w:val="00560D53"/>
    <w:rsid w:val="00561490"/>
    <w:rsid w:val="005853A9"/>
    <w:rsid w:val="005866BC"/>
    <w:rsid w:val="00587034"/>
    <w:rsid w:val="00594CFC"/>
    <w:rsid w:val="005A5AAC"/>
    <w:rsid w:val="005C0DF8"/>
    <w:rsid w:val="005C1A5E"/>
    <w:rsid w:val="005D3AEE"/>
    <w:rsid w:val="005F1EA2"/>
    <w:rsid w:val="006133EA"/>
    <w:rsid w:val="006372BE"/>
    <w:rsid w:val="00655035"/>
    <w:rsid w:val="00657023"/>
    <w:rsid w:val="006603CF"/>
    <w:rsid w:val="00664392"/>
    <w:rsid w:val="00666E8A"/>
    <w:rsid w:val="00671D6B"/>
    <w:rsid w:val="00673C90"/>
    <w:rsid w:val="006827C6"/>
    <w:rsid w:val="00686CF2"/>
    <w:rsid w:val="006930A7"/>
    <w:rsid w:val="006A751E"/>
    <w:rsid w:val="006A7B44"/>
    <w:rsid w:val="006B2FBC"/>
    <w:rsid w:val="006E02B9"/>
    <w:rsid w:val="006F4D48"/>
    <w:rsid w:val="006F6BB5"/>
    <w:rsid w:val="007034EB"/>
    <w:rsid w:val="00703EFA"/>
    <w:rsid w:val="0070743A"/>
    <w:rsid w:val="0071022B"/>
    <w:rsid w:val="00710F12"/>
    <w:rsid w:val="00713DCC"/>
    <w:rsid w:val="007218C3"/>
    <w:rsid w:val="00723859"/>
    <w:rsid w:val="007342C0"/>
    <w:rsid w:val="007403DB"/>
    <w:rsid w:val="00740DF4"/>
    <w:rsid w:val="00740E86"/>
    <w:rsid w:val="00741EDA"/>
    <w:rsid w:val="00753D98"/>
    <w:rsid w:val="00754072"/>
    <w:rsid w:val="007542EA"/>
    <w:rsid w:val="007704B6"/>
    <w:rsid w:val="00773899"/>
    <w:rsid w:val="007741BE"/>
    <w:rsid w:val="0078404B"/>
    <w:rsid w:val="00786A83"/>
    <w:rsid w:val="00792BA6"/>
    <w:rsid w:val="007A1566"/>
    <w:rsid w:val="007A7E2B"/>
    <w:rsid w:val="007B12AA"/>
    <w:rsid w:val="007C2E76"/>
    <w:rsid w:val="007C7C96"/>
    <w:rsid w:val="007D37CC"/>
    <w:rsid w:val="007D4E96"/>
    <w:rsid w:val="007F08CD"/>
    <w:rsid w:val="007F0FEE"/>
    <w:rsid w:val="00803B29"/>
    <w:rsid w:val="008140C7"/>
    <w:rsid w:val="00816F48"/>
    <w:rsid w:val="00823DA4"/>
    <w:rsid w:val="00831D45"/>
    <w:rsid w:val="00846A81"/>
    <w:rsid w:val="008540FD"/>
    <w:rsid w:val="00865CB3"/>
    <w:rsid w:val="008703F7"/>
    <w:rsid w:val="008842BF"/>
    <w:rsid w:val="00890BEA"/>
    <w:rsid w:val="008A3E44"/>
    <w:rsid w:val="008B47A4"/>
    <w:rsid w:val="008B7C3E"/>
    <w:rsid w:val="008E1FCC"/>
    <w:rsid w:val="008F58AA"/>
    <w:rsid w:val="009245E5"/>
    <w:rsid w:val="0092487D"/>
    <w:rsid w:val="0092583B"/>
    <w:rsid w:val="00947F61"/>
    <w:rsid w:val="0096026E"/>
    <w:rsid w:val="009611D0"/>
    <w:rsid w:val="00964E9C"/>
    <w:rsid w:val="00972E7A"/>
    <w:rsid w:val="009978D3"/>
    <w:rsid w:val="009C2667"/>
    <w:rsid w:val="009C6A4F"/>
    <w:rsid w:val="009C7A0D"/>
    <w:rsid w:val="009D1FB0"/>
    <w:rsid w:val="009D60E1"/>
    <w:rsid w:val="009D7CCE"/>
    <w:rsid w:val="009E14B2"/>
    <w:rsid w:val="009F09A2"/>
    <w:rsid w:val="00A0368C"/>
    <w:rsid w:val="00A11842"/>
    <w:rsid w:val="00A12A27"/>
    <w:rsid w:val="00A137F3"/>
    <w:rsid w:val="00A17C97"/>
    <w:rsid w:val="00A3249B"/>
    <w:rsid w:val="00A372B4"/>
    <w:rsid w:val="00A53F68"/>
    <w:rsid w:val="00A84E69"/>
    <w:rsid w:val="00A86107"/>
    <w:rsid w:val="00A94CC9"/>
    <w:rsid w:val="00A97E25"/>
    <w:rsid w:val="00AA0B7E"/>
    <w:rsid w:val="00AA5A7E"/>
    <w:rsid w:val="00AB0809"/>
    <w:rsid w:val="00AB26BA"/>
    <w:rsid w:val="00AC61B9"/>
    <w:rsid w:val="00AC681E"/>
    <w:rsid w:val="00AD2B19"/>
    <w:rsid w:val="00AE7F92"/>
    <w:rsid w:val="00B01BD5"/>
    <w:rsid w:val="00B06057"/>
    <w:rsid w:val="00B068E0"/>
    <w:rsid w:val="00B1249A"/>
    <w:rsid w:val="00B161F8"/>
    <w:rsid w:val="00B23127"/>
    <w:rsid w:val="00B510FA"/>
    <w:rsid w:val="00B61629"/>
    <w:rsid w:val="00B7029A"/>
    <w:rsid w:val="00B715F8"/>
    <w:rsid w:val="00B721D6"/>
    <w:rsid w:val="00BA429C"/>
    <w:rsid w:val="00BD3F8B"/>
    <w:rsid w:val="00BF25B4"/>
    <w:rsid w:val="00BF579E"/>
    <w:rsid w:val="00C01D00"/>
    <w:rsid w:val="00C02028"/>
    <w:rsid w:val="00C06B0A"/>
    <w:rsid w:val="00C17CC4"/>
    <w:rsid w:val="00C22680"/>
    <w:rsid w:val="00C56A05"/>
    <w:rsid w:val="00C778CB"/>
    <w:rsid w:val="00C93A7D"/>
    <w:rsid w:val="00C940DF"/>
    <w:rsid w:val="00CB04F8"/>
    <w:rsid w:val="00CB22A3"/>
    <w:rsid w:val="00CB6523"/>
    <w:rsid w:val="00CC2905"/>
    <w:rsid w:val="00CC3E2C"/>
    <w:rsid w:val="00CC5F96"/>
    <w:rsid w:val="00CC6303"/>
    <w:rsid w:val="00CF00FA"/>
    <w:rsid w:val="00CF7A5B"/>
    <w:rsid w:val="00D0012D"/>
    <w:rsid w:val="00D17905"/>
    <w:rsid w:val="00D27026"/>
    <w:rsid w:val="00D37C8A"/>
    <w:rsid w:val="00D5048A"/>
    <w:rsid w:val="00D537C4"/>
    <w:rsid w:val="00D553AE"/>
    <w:rsid w:val="00D56AB3"/>
    <w:rsid w:val="00D64527"/>
    <w:rsid w:val="00D7397B"/>
    <w:rsid w:val="00D908D9"/>
    <w:rsid w:val="00D95E97"/>
    <w:rsid w:val="00D97D8E"/>
    <w:rsid w:val="00DA3C9C"/>
    <w:rsid w:val="00DC07BF"/>
    <w:rsid w:val="00DC428F"/>
    <w:rsid w:val="00DC76C0"/>
    <w:rsid w:val="00DD5905"/>
    <w:rsid w:val="00DE1328"/>
    <w:rsid w:val="00DE7A17"/>
    <w:rsid w:val="00DF2A88"/>
    <w:rsid w:val="00DF335E"/>
    <w:rsid w:val="00DF5E7D"/>
    <w:rsid w:val="00E012A0"/>
    <w:rsid w:val="00E01728"/>
    <w:rsid w:val="00E1765D"/>
    <w:rsid w:val="00E2372E"/>
    <w:rsid w:val="00E27B8E"/>
    <w:rsid w:val="00E37C88"/>
    <w:rsid w:val="00E47BB3"/>
    <w:rsid w:val="00E50F1E"/>
    <w:rsid w:val="00E520C2"/>
    <w:rsid w:val="00E53118"/>
    <w:rsid w:val="00E53281"/>
    <w:rsid w:val="00E537BD"/>
    <w:rsid w:val="00E809DF"/>
    <w:rsid w:val="00E85AA2"/>
    <w:rsid w:val="00E90B7E"/>
    <w:rsid w:val="00E93DD3"/>
    <w:rsid w:val="00EA7F4F"/>
    <w:rsid w:val="00EB5052"/>
    <w:rsid w:val="00EB64E4"/>
    <w:rsid w:val="00EC6B86"/>
    <w:rsid w:val="00EE205C"/>
    <w:rsid w:val="00F12886"/>
    <w:rsid w:val="00F13BBE"/>
    <w:rsid w:val="00F16D7F"/>
    <w:rsid w:val="00F20A2C"/>
    <w:rsid w:val="00F3179D"/>
    <w:rsid w:val="00F32B94"/>
    <w:rsid w:val="00F32F99"/>
    <w:rsid w:val="00F34251"/>
    <w:rsid w:val="00F37F19"/>
    <w:rsid w:val="00F4300E"/>
    <w:rsid w:val="00F54377"/>
    <w:rsid w:val="00F563A8"/>
    <w:rsid w:val="00F73B70"/>
    <w:rsid w:val="00F73E02"/>
    <w:rsid w:val="00F75F32"/>
    <w:rsid w:val="00F8228D"/>
    <w:rsid w:val="00F85418"/>
    <w:rsid w:val="00F91629"/>
    <w:rsid w:val="00F96AE7"/>
    <w:rsid w:val="00FB3905"/>
    <w:rsid w:val="00FC4CA1"/>
    <w:rsid w:val="00FD26ED"/>
    <w:rsid w:val="01ED479C"/>
    <w:rsid w:val="02FF7BF3"/>
    <w:rsid w:val="04581DE6"/>
    <w:rsid w:val="06411A7A"/>
    <w:rsid w:val="08E6207F"/>
    <w:rsid w:val="0AF569DD"/>
    <w:rsid w:val="0D7B0380"/>
    <w:rsid w:val="0EC610C3"/>
    <w:rsid w:val="0F820DCB"/>
    <w:rsid w:val="12E27382"/>
    <w:rsid w:val="12E5530C"/>
    <w:rsid w:val="134926D3"/>
    <w:rsid w:val="13CA183B"/>
    <w:rsid w:val="146E0D97"/>
    <w:rsid w:val="15FB1073"/>
    <w:rsid w:val="17F71E9C"/>
    <w:rsid w:val="185467A5"/>
    <w:rsid w:val="1B854D52"/>
    <w:rsid w:val="1D9B06F6"/>
    <w:rsid w:val="221E3CD2"/>
    <w:rsid w:val="22764992"/>
    <w:rsid w:val="232F0620"/>
    <w:rsid w:val="23F5414B"/>
    <w:rsid w:val="24D22C57"/>
    <w:rsid w:val="251C31B6"/>
    <w:rsid w:val="26610F4A"/>
    <w:rsid w:val="2DF22655"/>
    <w:rsid w:val="312B22B5"/>
    <w:rsid w:val="31B01624"/>
    <w:rsid w:val="32ED6E0D"/>
    <w:rsid w:val="341C3C1D"/>
    <w:rsid w:val="381545E5"/>
    <w:rsid w:val="3A1E1BCB"/>
    <w:rsid w:val="3DF95AA4"/>
    <w:rsid w:val="3F00085E"/>
    <w:rsid w:val="40BE364F"/>
    <w:rsid w:val="42BC523B"/>
    <w:rsid w:val="42BC5C70"/>
    <w:rsid w:val="42E47DC7"/>
    <w:rsid w:val="43A92C8C"/>
    <w:rsid w:val="47965485"/>
    <w:rsid w:val="486D2FBC"/>
    <w:rsid w:val="48DE2ED6"/>
    <w:rsid w:val="49327862"/>
    <w:rsid w:val="49503472"/>
    <w:rsid w:val="4B1E0897"/>
    <w:rsid w:val="53E804B6"/>
    <w:rsid w:val="543247AA"/>
    <w:rsid w:val="55C2285B"/>
    <w:rsid w:val="56A30254"/>
    <w:rsid w:val="56EA38C6"/>
    <w:rsid w:val="57365CFD"/>
    <w:rsid w:val="576A3109"/>
    <w:rsid w:val="596521AB"/>
    <w:rsid w:val="5CDB3081"/>
    <w:rsid w:val="5F132262"/>
    <w:rsid w:val="60F91937"/>
    <w:rsid w:val="62A97465"/>
    <w:rsid w:val="63437702"/>
    <w:rsid w:val="67143E90"/>
    <w:rsid w:val="67C3777C"/>
    <w:rsid w:val="69323E53"/>
    <w:rsid w:val="699F4909"/>
    <w:rsid w:val="727819E2"/>
    <w:rsid w:val="72DF1245"/>
    <w:rsid w:val="742F6C5F"/>
    <w:rsid w:val="74B2260C"/>
    <w:rsid w:val="7BC35E2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qFormat="1" w:unhideWhenUsed="0" w:uiPriority="39" w:semiHidden="0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next w:val="1"/>
    <w:link w:val="19"/>
    <w:qFormat/>
    <w:uiPriority w:val="0"/>
    <w:pPr>
      <w:keepNext/>
      <w:keepLines/>
      <w:numPr>
        <w:ilvl w:val="0"/>
        <w:numId w:val="1"/>
      </w:numPr>
      <w:spacing w:beforeLines="50" w:afterLines="50"/>
      <w:outlineLvl w:val="0"/>
    </w:pPr>
    <w:rPr>
      <w:rFonts w:ascii="Arial" w:hAnsi="Arial" w:eastAsia="宋体" w:cs="Times New Roman"/>
      <w:b/>
      <w:kern w:val="44"/>
      <w:sz w:val="36"/>
      <w:szCs w:val="30"/>
      <w:lang w:val="en-US" w:eastAsia="zh-CN" w:bidi="ar-SA"/>
    </w:rPr>
  </w:style>
  <w:style w:type="paragraph" w:styleId="3">
    <w:name w:val="heading 2"/>
    <w:basedOn w:val="2"/>
    <w:next w:val="1"/>
    <w:link w:val="20"/>
    <w:qFormat/>
    <w:uiPriority w:val="0"/>
    <w:pPr>
      <w:numPr>
        <w:ilvl w:val="1"/>
      </w:numPr>
      <w:tabs>
        <w:tab w:val="left" w:pos="210"/>
        <w:tab w:val="left" w:pos="227"/>
        <w:tab w:val="left" w:pos="420"/>
      </w:tabs>
      <w:spacing w:line="400" w:lineRule="exact"/>
      <w:outlineLvl w:val="1"/>
    </w:pPr>
    <w:rPr>
      <w:rFonts w:ascii="Times New Roman" w:hAnsi="Times New Roman"/>
      <w:sz w:val="32"/>
      <w:szCs w:val="32"/>
    </w:rPr>
  </w:style>
  <w:style w:type="paragraph" w:styleId="4">
    <w:name w:val="heading 3"/>
    <w:basedOn w:val="3"/>
    <w:next w:val="1"/>
    <w:link w:val="21"/>
    <w:qFormat/>
    <w:uiPriority w:val="0"/>
    <w:pPr>
      <w:numPr>
        <w:ilvl w:val="2"/>
      </w:numPr>
      <w:tabs>
        <w:tab w:val="clear" w:pos="210"/>
        <w:tab w:val="clear" w:pos="227"/>
        <w:tab w:val="clear" w:pos="420"/>
      </w:tabs>
      <w:outlineLvl w:val="2"/>
    </w:pPr>
    <w:rPr>
      <w:sz w:val="30"/>
      <w:szCs w:val="28"/>
    </w:rPr>
  </w:style>
  <w:style w:type="paragraph" w:styleId="5">
    <w:name w:val="heading 4"/>
    <w:basedOn w:val="1"/>
    <w:next w:val="1"/>
    <w:link w:val="22"/>
    <w:qFormat/>
    <w:uiPriority w:val="0"/>
    <w:pPr>
      <w:keepNext/>
      <w:keepLines/>
      <w:numPr>
        <w:ilvl w:val="3"/>
        <w:numId w:val="1"/>
      </w:numPr>
      <w:tabs>
        <w:tab w:val="left" w:pos="1440"/>
      </w:tabs>
      <w:ind w:left="240" w:leftChars="100" w:right="240" w:rightChars="100" w:firstLine="0"/>
      <w:outlineLvl w:val="3"/>
    </w:pPr>
    <w:rPr>
      <w:rFonts w:ascii="Times New Roman" w:hAnsi="Times New Roman" w:eastAsia="宋体" w:cs="Times New Roman"/>
      <w:b/>
      <w:sz w:val="28"/>
      <w:szCs w:val="24"/>
    </w:rPr>
  </w:style>
  <w:style w:type="paragraph" w:styleId="6">
    <w:name w:val="heading 5"/>
    <w:basedOn w:val="1"/>
    <w:next w:val="1"/>
    <w:link w:val="23"/>
    <w:qFormat/>
    <w:uiPriority w:val="0"/>
    <w:pPr>
      <w:keepNext/>
      <w:keepLines/>
      <w:numPr>
        <w:ilvl w:val="0"/>
        <w:numId w:val="2"/>
      </w:numPr>
      <w:spacing w:before="40" w:after="50" w:line="377" w:lineRule="auto"/>
      <w:ind w:right="100" w:rightChars="100" w:firstLine="0"/>
      <w:outlineLvl w:val="4"/>
    </w:pPr>
    <w:rPr>
      <w:rFonts w:ascii="Times New Roman" w:hAnsi="Times New Roman" w:eastAsia="宋体" w:cs="Times New Roman"/>
      <w:b/>
      <w:bCs/>
      <w:sz w:val="24"/>
      <w:szCs w:val="28"/>
    </w:rPr>
  </w:style>
  <w:style w:type="paragraph" w:styleId="7">
    <w:name w:val="heading 6"/>
    <w:basedOn w:val="1"/>
    <w:next w:val="1"/>
    <w:link w:val="24"/>
    <w:qFormat/>
    <w:uiPriority w:val="0"/>
    <w:pPr>
      <w:keepNext/>
      <w:keepLines/>
      <w:numPr>
        <w:ilvl w:val="5"/>
        <w:numId w:val="1"/>
      </w:numPr>
      <w:tabs>
        <w:tab w:val="left" w:pos="567"/>
      </w:tabs>
      <w:spacing w:before="240" w:after="64" w:line="320" w:lineRule="auto"/>
      <w:ind w:firstLine="0"/>
      <w:outlineLvl w:val="5"/>
    </w:pPr>
    <w:rPr>
      <w:rFonts w:ascii="Arial" w:hAnsi="Arial" w:eastAsia="黑体" w:cs="Times New Roman"/>
      <w:b/>
      <w:bCs/>
      <w:sz w:val="24"/>
      <w:szCs w:val="24"/>
    </w:rPr>
  </w:style>
  <w:style w:type="paragraph" w:styleId="8">
    <w:name w:val="heading 7"/>
    <w:basedOn w:val="1"/>
    <w:next w:val="1"/>
    <w:link w:val="25"/>
    <w:qFormat/>
    <w:uiPriority w:val="0"/>
    <w:pPr>
      <w:keepNext/>
      <w:keepLines/>
      <w:numPr>
        <w:ilvl w:val="6"/>
        <w:numId w:val="1"/>
      </w:numPr>
      <w:tabs>
        <w:tab w:val="left" w:pos="567"/>
      </w:tabs>
      <w:spacing w:before="240" w:after="64" w:line="320" w:lineRule="auto"/>
      <w:ind w:firstLine="0"/>
      <w:outlineLvl w:val="6"/>
    </w:pPr>
    <w:rPr>
      <w:rFonts w:ascii="Times New Roman" w:hAnsi="Times New Roman" w:eastAsia="宋体" w:cs="Times New Roman"/>
      <w:b/>
      <w:bCs/>
      <w:sz w:val="24"/>
      <w:szCs w:val="24"/>
    </w:rPr>
  </w:style>
  <w:style w:type="paragraph" w:styleId="9">
    <w:name w:val="heading 8"/>
    <w:basedOn w:val="1"/>
    <w:next w:val="1"/>
    <w:link w:val="26"/>
    <w:qFormat/>
    <w:uiPriority w:val="0"/>
    <w:pPr>
      <w:keepNext/>
      <w:keepLines/>
      <w:numPr>
        <w:ilvl w:val="7"/>
        <w:numId w:val="1"/>
      </w:numPr>
      <w:tabs>
        <w:tab w:val="left" w:pos="567"/>
      </w:tabs>
      <w:spacing w:before="240" w:after="64" w:line="320" w:lineRule="auto"/>
      <w:ind w:firstLine="0"/>
      <w:outlineLvl w:val="7"/>
    </w:pPr>
    <w:rPr>
      <w:rFonts w:ascii="Arial" w:hAnsi="Arial" w:eastAsia="黑体" w:cs="Times New Roman"/>
      <w:sz w:val="24"/>
      <w:szCs w:val="24"/>
    </w:rPr>
  </w:style>
  <w:style w:type="paragraph" w:styleId="10">
    <w:name w:val="heading 9"/>
    <w:basedOn w:val="1"/>
    <w:next w:val="1"/>
    <w:link w:val="27"/>
    <w:qFormat/>
    <w:uiPriority w:val="0"/>
    <w:pPr>
      <w:keepNext/>
      <w:keepLines/>
      <w:numPr>
        <w:ilvl w:val="8"/>
        <w:numId w:val="1"/>
      </w:numPr>
      <w:tabs>
        <w:tab w:val="left" w:pos="567"/>
      </w:tabs>
      <w:spacing w:before="240" w:after="64" w:line="320" w:lineRule="auto"/>
      <w:ind w:firstLine="0"/>
      <w:outlineLvl w:val="8"/>
    </w:pPr>
    <w:rPr>
      <w:rFonts w:ascii="Arial" w:hAnsi="Arial" w:eastAsia="黑体" w:cs="Times New Roman"/>
      <w:sz w:val="24"/>
      <w:szCs w:val="21"/>
    </w:rPr>
  </w:style>
  <w:style w:type="character" w:default="1" w:styleId="18">
    <w:name w:val="Default Paragraph Font"/>
    <w:semiHidden/>
    <w:unhideWhenUsed/>
    <w:qFormat/>
    <w:uiPriority w:val="1"/>
  </w:style>
  <w:style w:type="table" w:default="1" w:styleId="1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Body Text"/>
    <w:basedOn w:val="1"/>
    <w:qFormat/>
    <w:uiPriority w:val="1"/>
    <w:pPr>
      <w:autoSpaceDE w:val="0"/>
      <w:autoSpaceDN w:val="0"/>
    </w:pPr>
    <w:rPr>
      <w:rFonts w:ascii="仿宋" w:hAnsi="仿宋" w:eastAsia="仿宋" w:cs="仿宋"/>
    </w:rPr>
  </w:style>
  <w:style w:type="paragraph" w:styleId="12">
    <w:name w:val="footer"/>
    <w:basedOn w:val="1"/>
    <w:link w:val="34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3">
    <w:name w:val="header"/>
    <w:basedOn w:val="1"/>
    <w:link w:val="33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4">
    <w:name w:val="toc 4"/>
    <w:basedOn w:val="1"/>
    <w:next w:val="1"/>
    <w:qFormat/>
    <w:uiPriority w:val="39"/>
    <w:pPr>
      <w:spacing w:line="300" w:lineRule="auto"/>
      <w:ind w:left="250" w:leftChars="250" w:firstLine="960" w:firstLineChars="200"/>
      <w:jc w:val="right"/>
    </w:pPr>
    <w:rPr>
      <w:rFonts w:ascii="Times New Roman" w:hAnsi="Times New Roman" w:eastAsia="宋体" w:cs="Times New Roman"/>
      <w:sz w:val="24"/>
      <w:szCs w:val="24"/>
    </w:rPr>
  </w:style>
  <w:style w:type="paragraph" w:styleId="15">
    <w:name w:val="Title"/>
    <w:basedOn w:val="1"/>
    <w:next w:val="1"/>
    <w:link w:val="29"/>
    <w:qFormat/>
    <w:uiPriority w:val="10"/>
    <w:pPr>
      <w:spacing w:before="240" w:after="60"/>
      <w:jc w:val="center"/>
      <w:outlineLvl w:val="0"/>
    </w:pPr>
    <w:rPr>
      <w:rFonts w:eastAsia="宋体" w:asciiTheme="majorHAnsi" w:hAnsiTheme="majorHAnsi" w:cstheme="majorBidi"/>
      <w:b/>
      <w:bCs/>
      <w:sz w:val="32"/>
      <w:szCs w:val="32"/>
    </w:rPr>
  </w:style>
  <w:style w:type="table" w:styleId="17">
    <w:name w:val="Table Grid"/>
    <w:basedOn w:val="16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9">
    <w:name w:val="标题 1 Char"/>
    <w:basedOn w:val="18"/>
    <w:link w:val="2"/>
    <w:qFormat/>
    <w:uiPriority w:val="0"/>
    <w:rPr>
      <w:rFonts w:ascii="Arial" w:hAnsi="Arial" w:eastAsia="宋体" w:cs="Times New Roman"/>
      <w:b/>
      <w:kern w:val="44"/>
      <w:sz w:val="36"/>
      <w:szCs w:val="30"/>
    </w:rPr>
  </w:style>
  <w:style w:type="character" w:customStyle="1" w:styleId="20">
    <w:name w:val="标题 2 Char"/>
    <w:basedOn w:val="18"/>
    <w:link w:val="3"/>
    <w:qFormat/>
    <w:uiPriority w:val="0"/>
    <w:rPr>
      <w:rFonts w:ascii="Times New Roman" w:hAnsi="Times New Roman" w:eastAsia="宋体" w:cs="Times New Roman"/>
      <w:b/>
      <w:kern w:val="44"/>
      <w:sz w:val="32"/>
      <w:szCs w:val="32"/>
    </w:rPr>
  </w:style>
  <w:style w:type="character" w:customStyle="1" w:styleId="21">
    <w:name w:val="标题 3 Char"/>
    <w:basedOn w:val="18"/>
    <w:link w:val="4"/>
    <w:qFormat/>
    <w:uiPriority w:val="0"/>
    <w:rPr>
      <w:rFonts w:ascii="Times New Roman" w:hAnsi="Times New Roman" w:eastAsia="宋体" w:cs="Times New Roman"/>
      <w:b/>
      <w:kern w:val="44"/>
      <w:sz w:val="30"/>
      <w:szCs w:val="28"/>
    </w:rPr>
  </w:style>
  <w:style w:type="character" w:customStyle="1" w:styleId="22">
    <w:name w:val="标题 4 Char"/>
    <w:basedOn w:val="18"/>
    <w:link w:val="5"/>
    <w:qFormat/>
    <w:uiPriority w:val="0"/>
    <w:rPr>
      <w:rFonts w:ascii="Times New Roman" w:hAnsi="Times New Roman" w:eastAsia="宋体" w:cs="Times New Roman"/>
      <w:b/>
      <w:sz w:val="28"/>
      <w:szCs w:val="24"/>
    </w:rPr>
  </w:style>
  <w:style w:type="character" w:customStyle="1" w:styleId="23">
    <w:name w:val="标题 5 Char"/>
    <w:basedOn w:val="18"/>
    <w:link w:val="6"/>
    <w:qFormat/>
    <w:uiPriority w:val="0"/>
    <w:rPr>
      <w:rFonts w:ascii="Times New Roman" w:hAnsi="Times New Roman" w:eastAsia="宋体" w:cs="Times New Roman"/>
      <w:b/>
      <w:bCs/>
      <w:sz w:val="24"/>
      <w:szCs w:val="28"/>
    </w:rPr>
  </w:style>
  <w:style w:type="character" w:customStyle="1" w:styleId="24">
    <w:name w:val="标题 6 Char"/>
    <w:basedOn w:val="18"/>
    <w:link w:val="7"/>
    <w:qFormat/>
    <w:uiPriority w:val="0"/>
    <w:rPr>
      <w:rFonts w:ascii="Arial" w:hAnsi="Arial" w:eastAsia="黑体" w:cs="Times New Roman"/>
      <w:b/>
      <w:bCs/>
      <w:sz w:val="24"/>
      <w:szCs w:val="24"/>
    </w:rPr>
  </w:style>
  <w:style w:type="character" w:customStyle="1" w:styleId="25">
    <w:name w:val="标题 7 Char"/>
    <w:basedOn w:val="18"/>
    <w:link w:val="8"/>
    <w:qFormat/>
    <w:uiPriority w:val="0"/>
    <w:rPr>
      <w:rFonts w:ascii="Times New Roman" w:hAnsi="Times New Roman" w:eastAsia="宋体" w:cs="Times New Roman"/>
      <w:b/>
      <w:bCs/>
      <w:sz w:val="24"/>
      <w:szCs w:val="24"/>
    </w:rPr>
  </w:style>
  <w:style w:type="character" w:customStyle="1" w:styleId="26">
    <w:name w:val="标题 8 Char"/>
    <w:basedOn w:val="18"/>
    <w:link w:val="9"/>
    <w:qFormat/>
    <w:uiPriority w:val="0"/>
    <w:rPr>
      <w:rFonts w:ascii="Arial" w:hAnsi="Arial" w:eastAsia="黑体" w:cs="Times New Roman"/>
      <w:sz w:val="24"/>
      <w:szCs w:val="24"/>
    </w:rPr>
  </w:style>
  <w:style w:type="character" w:customStyle="1" w:styleId="27">
    <w:name w:val="标题 9 Char"/>
    <w:basedOn w:val="18"/>
    <w:link w:val="10"/>
    <w:qFormat/>
    <w:uiPriority w:val="0"/>
    <w:rPr>
      <w:rFonts w:ascii="Arial" w:hAnsi="Arial" w:eastAsia="黑体" w:cs="Times New Roman"/>
      <w:sz w:val="24"/>
      <w:szCs w:val="21"/>
    </w:rPr>
  </w:style>
  <w:style w:type="paragraph" w:styleId="28">
    <w:name w:val="List Paragraph"/>
    <w:basedOn w:val="1"/>
    <w:link w:val="32"/>
    <w:qFormat/>
    <w:uiPriority w:val="34"/>
    <w:pPr>
      <w:ind w:firstLine="420" w:firstLineChars="200"/>
    </w:pPr>
  </w:style>
  <w:style w:type="character" w:customStyle="1" w:styleId="29">
    <w:name w:val="标题 Char"/>
    <w:basedOn w:val="18"/>
    <w:link w:val="15"/>
    <w:qFormat/>
    <w:uiPriority w:val="10"/>
    <w:rPr>
      <w:rFonts w:eastAsia="宋体" w:asciiTheme="majorHAnsi" w:hAnsiTheme="majorHAnsi" w:cstheme="majorBidi"/>
      <w:b/>
      <w:bCs/>
      <w:sz w:val="32"/>
      <w:szCs w:val="32"/>
    </w:rPr>
  </w:style>
  <w:style w:type="paragraph" w:customStyle="1" w:styleId="30">
    <w:name w:val="内容编号"/>
    <w:basedOn w:val="1"/>
    <w:qFormat/>
    <w:uiPriority w:val="0"/>
    <w:pPr>
      <w:numPr>
        <w:ilvl w:val="1"/>
        <w:numId w:val="3"/>
      </w:numPr>
    </w:pPr>
  </w:style>
  <w:style w:type="paragraph" w:customStyle="1" w:styleId="31">
    <w:name w:val="文档正文"/>
    <w:basedOn w:val="1"/>
    <w:qFormat/>
    <w:uiPriority w:val="0"/>
    <w:pPr>
      <w:numPr>
        <w:ilvl w:val="0"/>
        <w:numId w:val="4"/>
      </w:numPr>
    </w:pPr>
  </w:style>
  <w:style w:type="character" w:customStyle="1" w:styleId="32">
    <w:name w:val="列出段落 Char"/>
    <w:link w:val="28"/>
    <w:qFormat/>
    <w:uiPriority w:val="34"/>
  </w:style>
  <w:style w:type="character" w:customStyle="1" w:styleId="33">
    <w:name w:val="页眉 Char"/>
    <w:basedOn w:val="18"/>
    <w:link w:val="13"/>
    <w:semiHidden/>
    <w:qFormat/>
    <w:uiPriority w:val="99"/>
    <w:rPr>
      <w:sz w:val="18"/>
      <w:szCs w:val="18"/>
    </w:rPr>
  </w:style>
  <w:style w:type="character" w:customStyle="1" w:styleId="34">
    <w:name w:val="页脚 Char"/>
    <w:basedOn w:val="18"/>
    <w:link w:val="12"/>
    <w:semiHidden/>
    <w:qFormat/>
    <w:uiPriority w:val="99"/>
    <w:rPr>
      <w:sz w:val="18"/>
      <w:szCs w:val="18"/>
    </w:rPr>
  </w:style>
  <w:style w:type="character" w:customStyle="1" w:styleId="35">
    <w:name w:val="15"/>
    <w:basedOn w:val="18"/>
    <w:qFormat/>
    <w:uiPriority w:val="0"/>
    <w:rPr>
      <w:rFonts w:hint="default" w:ascii="Times New Roman" w:hAnsi="Times New Roman" w:cs="Times New Roman"/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B0C13AC-5FD7-49C8-94F0-3FECC206EF7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5</Pages>
  <Words>3557</Words>
  <Characters>3607</Characters>
  <Lines>21</Lines>
  <Paragraphs>6</Paragraphs>
  <TotalTime>64</TotalTime>
  <ScaleCrop>false</ScaleCrop>
  <LinksUpToDate>false</LinksUpToDate>
  <CharactersWithSpaces>3610</CharactersWithSpaces>
  <Application>WPS Office_11.8.6.9023_F1E327BC-269C-435d-A152-05C5408002CA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2020-05-27T09:13:00Z</dcterms:created>
  <dc:creator>廖锡广</dc:creator>
  <cp:lastModifiedBy>Administrator</cp:lastModifiedBy>
  <cp:lastPrinted>2025-07-14T09:21:00Z</cp:lastPrinted>
  <dcterms:modified xsi:type="dcterms:W3CDTF">2026-10-21T06:51:31Z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2052-11.8.6.9023</vt:lpwstr>
  </property>
  <property fmtid="{D5CDD505-2E9C-101B-9397-08002B2CF9AE}" pid="3" name="KSOTemplateDocerSaveRecord">
    <vt:lpwstr>eyJoZGlkIjoiOGE2ZmY4ZGI1NWU5M2Q3MThhZGFlZGIxOWJkNzUzODQiLCJ1c2VySWQiOiIzMTI5NjA5ODYifQ==</vt:lpwstr>
  </property>
  <property fmtid="{D5CDD505-2E9C-101B-9397-08002B2CF9AE}" pid="4" name="ICV">
    <vt:lpwstr>16BA987115154FDEB10B8511C21BD81D_13</vt:lpwstr>
  </property>
</Properties>
</file>